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EBCC6" w14:textId="77777777" w:rsidR="00C15A74" w:rsidRDefault="00000000">
      <w:pPr>
        <w:spacing w:before="240" w:after="240"/>
        <w:jc w:val="center"/>
        <w:rPr>
          <w:rFonts w:ascii="Cambria" w:eastAsia="Cambria" w:hAnsi="Cambria" w:cs="Cambria"/>
          <w:b/>
          <w:sz w:val="28"/>
          <w:szCs w:val="28"/>
        </w:rPr>
      </w:pPr>
      <w:r>
        <w:rPr>
          <w:rFonts w:ascii="Cambria" w:eastAsia="Cambria" w:hAnsi="Cambria" w:cs="Cambria"/>
          <w:sz w:val="28"/>
          <w:szCs w:val="28"/>
        </w:rPr>
        <w:t xml:space="preserve"> </w:t>
      </w:r>
      <w:r>
        <w:rPr>
          <w:rFonts w:ascii="Cambria" w:eastAsia="Cambria" w:hAnsi="Cambria" w:cs="Cambria"/>
          <w:b/>
          <w:sz w:val="28"/>
          <w:szCs w:val="28"/>
        </w:rPr>
        <w:t xml:space="preserve">Funerary practice and grave goods as indicators of gender in the Bronze age necropolises at </w:t>
      </w:r>
      <w:proofErr w:type="spellStart"/>
      <w:r>
        <w:rPr>
          <w:rFonts w:ascii="Cambria" w:eastAsia="Cambria" w:hAnsi="Cambria" w:cs="Cambria"/>
          <w:b/>
          <w:sz w:val="28"/>
          <w:szCs w:val="28"/>
        </w:rPr>
        <w:t>Mokrin</w:t>
      </w:r>
      <w:proofErr w:type="spellEnd"/>
      <w:r>
        <w:rPr>
          <w:rFonts w:ascii="Cambria" w:eastAsia="Cambria" w:hAnsi="Cambria" w:cs="Cambria"/>
          <w:b/>
          <w:sz w:val="28"/>
          <w:szCs w:val="28"/>
        </w:rPr>
        <w:t xml:space="preserve"> and Ostojićevo (2100-1800 BCE)</w:t>
      </w:r>
    </w:p>
    <w:p w14:paraId="2D5CB90B"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rPr>
        <w:t>Marija Krečković Gavrilović</w:t>
      </w:r>
      <w:r>
        <w:rPr>
          <w:rFonts w:ascii="Cambria" w:eastAsia="Cambria" w:hAnsi="Cambria" w:cs="Cambria"/>
          <w:sz w:val="24"/>
          <w:szCs w:val="24"/>
          <w:vertAlign w:val="superscript"/>
        </w:rPr>
        <w:t>1</w:t>
      </w:r>
      <w:r>
        <w:rPr>
          <w:rFonts w:ascii="Cambria" w:eastAsia="Cambria" w:hAnsi="Cambria" w:cs="Cambria"/>
          <w:sz w:val="24"/>
          <w:szCs w:val="24"/>
        </w:rPr>
        <w:t>,</w:t>
      </w:r>
      <w:r>
        <w:rPr>
          <w:rFonts w:ascii="Cambria" w:eastAsia="Cambria" w:hAnsi="Cambria" w:cs="Cambria"/>
          <w:sz w:val="24"/>
          <w:szCs w:val="24"/>
          <w:vertAlign w:val="superscript"/>
        </w:rPr>
        <w:t xml:space="preserve"> </w:t>
      </w:r>
      <w:proofErr w:type="spellStart"/>
      <w:r>
        <w:rPr>
          <w:rFonts w:ascii="Cambria" w:eastAsia="Cambria" w:hAnsi="Cambria" w:cs="Cambria"/>
          <w:sz w:val="24"/>
          <w:szCs w:val="24"/>
        </w:rPr>
        <w:t>Čika</w:t>
      </w:r>
      <w:proofErr w:type="spellEnd"/>
      <w:r>
        <w:rPr>
          <w:rFonts w:ascii="Cambria" w:eastAsia="Cambria" w:hAnsi="Cambria" w:cs="Cambria"/>
          <w:sz w:val="24"/>
          <w:szCs w:val="24"/>
        </w:rPr>
        <w:t xml:space="preserve"> Ljubina 18-20 11000 Belgrade, </w:t>
      </w:r>
      <w:hyperlink r:id="rId6">
        <w:r w:rsidR="00C15A74">
          <w:rPr>
            <w:rFonts w:ascii="Cambria" w:eastAsia="Cambria" w:hAnsi="Cambria" w:cs="Cambria"/>
            <w:color w:val="1155CC"/>
            <w:sz w:val="24"/>
            <w:szCs w:val="24"/>
            <w:u w:val="single"/>
          </w:rPr>
          <w:t>marija.kreckovic@f.bg.ac.rs</w:t>
        </w:r>
      </w:hyperlink>
      <w:r>
        <w:rPr>
          <w:rFonts w:ascii="Cambria" w:eastAsia="Cambria" w:hAnsi="Cambria" w:cs="Cambria"/>
          <w:sz w:val="24"/>
          <w:szCs w:val="24"/>
        </w:rPr>
        <w:t>; ORCID: 0000-0002-1555-4095</w:t>
      </w:r>
    </w:p>
    <w:p w14:paraId="5933AEEA"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rPr>
        <w:t>Mina Amzirkov</w:t>
      </w:r>
      <w:r>
        <w:rPr>
          <w:rFonts w:ascii="Cambria" w:eastAsia="Cambria" w:hAnsi="Cambria" w:cs="Cambria"/>
          <w:sz w:val="24"/>
          <w:szCs w:val="24"/>
          <w:vertAlign w:val="superscript"/>
        </w:rPr>
        <w:t>1</w:t>
      </w:r>
      <w:r>
        <w:rPr>
          <w:rFonts w:ascii="Cambria" w:eastAsia="Cambria" w:hAnsi="Cambria" w:cs="Cambria"/>
          <w:sz w:val="24"/>
          <w:szCs w:val="24"/>
        </w:rPr>
        <w:t xml:space="preserve">, </w:t>
      </w:r>
      <w:proofErr w:type="spellStart"/>
      <w:r>
        <w:rPr>
          <w:rFonts w:ascii="Cambria" w:eastAsia="Cambria" w:hAnsi="Cambria" w:cs="Cambria"/>
          <w:sz w:val="24"/>
          <w:szCs w:val="24"/>
        </w:rPr>
        <w:t>Čika</w:t>
      </w:r>
      <w:proofErr w:type="spellEnd"/>
      <w:r>
        <w:rPr>
          <w:rFonts w:ascii="Cambria" w:eastAsia="Cambria" w:hAnsi="Cambria" w:cs="Cambria"/>
          <w:sz w:val="24"/>
          <w:szCs w:val="24"/>
        </w:rPr>
        <w:t xml:space="preserve"> Ljubina 18-20 11000 Belgrade, </w:t>
      </w:r>
      <w:hyperlink r:id="rId7">
        <w:r w:rsidR="00C15A74">
          <w:rPr>
            <w:rFonts w:ascii="Cambria" w:eastAsia="Cambria" w:hAnsi="Cambria" w:cs="Cambria"/>
            <w:color w:val="1155CC"/>
            <w:sz w:val="24"/>
            <w:szCs w:val="24"/>
            <w:highlight w:val="white"/>
            <w:u w:val="single"/>
          </w:rPr>
          <w:t>mina.amzirkov@stud.f.bg.ac.rs</w:t>
        </w:r>
      </w:hyperlink>
      <w:r>
        <w:rPr>
          <w:rFonts w:ascii="Cambria" w:eastAsia="Cambria" w:hAnsi="Cambria" w:cs="Cambria"/>
          <w:color w:val="1155CC"/>
          <w:sz w:val="24"/>
          <w:szCs w:val="24"/>
          <w:highlight w:val="white"/>
        </w:rPr>
        <w:t xml:space="preserve"> </w:t>
      </w:r>
      <w:r>
        <w:rPr>
          <w:rFonts w:ascii="Cambria" w:eastAsia="Cambria" w:hAnsi="Cambria" w:cs="Cambria"/>
          <w:sz w:val="24"/>
          <w:szCs w:val="24"/>
        </w:rPr>
        <w:t>ORCID: 0000-0003-1829-6711.</w:t>
      </w:r>
    </w:p>
    <w:p w14:paraId="2ECA31A2"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rPr>
        <w:t>Marko Porčić</w:t>
      </w:r>
      <w:r>
        <w:rPr>
          <w:rFonts w:ascii="Cambria" w:eastAsia="Cambria" w:hAnsi="Cambria" w:cs="Cambria"/>
          <w:sz w:val="24"/>
          <w:szCs w:val="24"/>
          <w:vertAlign w:val="superscript"/>
        </w:rPr>
        <w:t>1</w:t>
      </w:r>
      <w:r>
        <w:rPr>
          <w:rFonts w:ascii="Cambria" w:eastAsia="Cambria" w:hAnsi="Cambria" w:cs="Cambria"/>
          <w:sz w:val="24"/>
          <w:szCs w:val="24"/>
        </w:rPr>
        <w:t xml:space="preserve">, </w:t>
      </w:r>
      <w:proofErr w:type="spellStart"/>
      <w:r>
        <w:rPr>
          <w:rFonts w:ascii="Cambria" w:eastAsia="Cambria" w:hAnsi="Cambria" w:cs="Cambria"/>
          <w:sz w:val="24"/>
          <w:szCs w:val="24"/>
        </w:rPr>
        <w:t>Čika</w:t>
      </w:r>
      <w:proofErr w:type="spellEnd"/>
      <w:r>
        <w:rPr>
          <w:rFonts w:ascii="Cambria" w:eastAsia="Cambria" w:hAnsi="Cambria" w:cs="Cambria"/>
          <w:sz w:val="24"/>
          <w:szCs w:val="24"/>
        </w:rPr>
        <w:t xml:space="preserve"> Ljubina 18-20 11000 Belgrade, </w:t>
      </w:r>
      <w:hyperlink r:id="rId8">
        <w:r w:rsidR="00C15A74">
          <w:rPr>
            <w:rFonts w:ascii="Cambria" w:eastAsia="Cambria" w:hAnsi="Cambria" w:cs="Cambria"/>
            <w:color w:val="1155CC"/>
            <w:sz w:val="24"/>
            <w:szCs w:val="24"/>
            <w:u w:val="single"/>
          </w:rPr>
          <w:t>mporcic@f.bg.ac.rs</w:t>
        </w:r>
      </w:hyperlink>
      <w:r>
        <w:rPr>
          <w:rFonts w:ascii="Cambria" w:eastAsia="Cambria" w:hAnsi="Cambria" w:cs="Cambria"/>
          <w:sz w:val="24"/>
          <w:szCs w:val="24"/>
        </w:rPr>
        <w:t>; ORCID: 0000-0002-6697-8621</w:t>
      </w:r>
    </w:p>
    <w:p w14:paraId="1DDED98A"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rPr>
        <w:t>Marija Marin</w:t>
      </w:r>
      <w:r>
        <w:rPr>
          <w:rFonts w:ascii="Cambria" w:eastAsia="Cambria" w:hAnsi="Cambria" w:cs="Cambria"/>
          <w:sz w:val="24"/>
          <w:szCs w:val="24"/>
          <w:vertAlign w:val="superscript"/>
        </w:rPr>
        <w:t>1</w:t>
      </w:r>
      <w:r>
        <w:rPr>
          <w:rFonts w:ascii="Cambria" w:eastAsia="Cambria" w:hAnsi="Cambria" w:cs="Cambria"/>
          <w:sz w:val="24"/>
          <w:szCs w:val="24"/>
        </w:rPr>
        <w:t xml:space="preserve">, </w:t>
      </w:r>
      <w:proofErr w:type="spellStart"/>
      <w:r>
        <w:rPr>
          <w:rFonts w:ascii="Cambria" w:eastAsia="Cambria" w:hAnsi="Cambria" w:cs="Cambria"/>
          <w:sz w:val="24"/>
          <w:szCs w:val="24"/>
        </w:rPr>
        <w:t>Čika</w:t>
      </w:r>
      <w:proofErr w:type="spellEnd"/>
      <w:r>
        <w:rPr>
          <w:rFonts w:ascii="Cambria" w:eastAsia="Cambria" w:hAnsi="Cambria" w:cs="Cambria"/>
          <w:sz w:val="24"/>
          <w:szCs w:val="24"/>
        </w:rPr>
        <w:t xml:space="preserve"> Ljubina 18-20 11000 Belgrade, ORCID: 0000-0001-9128-1212</w:t>
      </w:r>
    </w:p>
    <w:p w14:paraId="094C33C4"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rPr>
        <w:t>Jelena Marković</w:t>
      </w:r>
      <w:r>
        <w:rPr>
          <w:rFonts w:ascii="Cambria" w:eastAsia="Cambria" w:hAnsi="Cambria" w:cs="Cambria"/>
          <w:sz w:val="24"/>
          <w:szCs w:val="24"/>
          <w:vertAlign w:val="superscript"/>
        </w:rPr>
        <w:t>1</w:t>
      </w:r>
      <w:r>
        <w:rPr>
          <w:rFonts w:ascii="Cambria" w:eastAsia="Cambria" w:hAnsi="Cambria" w:cs="Cambria"/>
          <w:sz w:val="24"/>
          <w:szCs w:val="24"/>
        </w:rPr>
        <w:t xml:space="preserve">, </w:t>
      </w:r>
      <w:proofErr w:type="spellStart"/>
      <w:r>
        <w:rPr>
          <w:rFonts w:ascii="Cambria" w:eastAsia="Cambria" w:hAnsi="Cambria" w:cs="Cambria"/>
          <w:sz w:val="24"/>
          <w:szCs w:val="24"/>
        </w:rPr>
        <w:t>Čika</w:t>
      </w:r>
      <w:proofErr w:type="spellEnd"/>
      <w:r>
        <w:rPr>
          <w:rFonts w:ascii="Cambria" w:eastAsia="Cambria" w:hAnsi="Cambria" w:cs="Cambria"/>
          <w:sz w:val="24"/>
          <w:szCs w:val="24"/>
        </w:rPr>
        <w:t xml:space="preserve"> Ljubina 18-20 11000 Belgrade, </w:t>
      </w:r>
      <w:hyperlink r:id="rId9">
        <w:r w:rsidR="00C15A74">
          <w:rPr>
            <w:rFonts w:ascii="Cambria" w:eastAsia="Cambria" w:hAnsi="Cambria" w:cs="Cambria"/>
            <w:color w:val="1155CC"/>
            <w:sz w:val="24"/>
            <w:szCs w:val="24"/>
            <w:u w:val="single"/>
          </w:rPr>
          <w:t>jelena.markovic@f.bg.ac.rs</w:t>
        </w:r>
      </w:hyperlink>
      <w:r>
        <w:rPr>
          <w:rFonts w:ascii="Cambria" w:eastAsia="Cambria" w:hAnsi="Cambria" w:cs="Cambria"/>
          <w:sz w:val="24"/>
          <w:szCs w:val="24"/>
        </w:rPr>
        <w:t>; ORCID: 0000-0001-6183-8462</w:t>
      </w:r>
    </w:p>
    <w:p w14:paraId="4B6A9542"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rPr>
        <w:t>Sofija Stefanović</w:t>
      </w:r>
      <w:r>
        <w:rPr>
          <w:rFonts w:ascii="Cambria" w:eastAsia="Cambria" w:hAnsi="Cambria" w:cs="Cambria"/>
          <w:sz w:val="24"/>
          <w:szCs w:val="24"/>
          <w:vertAlign w:val="superscript"/>
        </w:rPr>
        <w:t>1</w:t>
      </w:r>
      <w:r>
        <w:rPr>
          <w:rFonts w:ascii="Cambria" w:eastAsia="Cambria" w:hAnsi="Cambria" w:cs="Cambria"/>
          <w:sz w:val="24"/>
          <w:szCs w:val="24"/>
        </w:rPr>
        <w:t>,</w:t>
      </w:r>
      <w:r>
        <w:rPr>
          <w:rFonts w:ascii="Cambria" w:eastAsia="Cambria" w:hAnsi="Cambria" w:cs="Cambria"/>
          <w:sz w:val="24"/>
          <w:szCs w:val="24"/>
          <w:vertAlign w:val="superscript"/>
        </w:rPr>
        <w:t xml:space="preserve"> </w:t>
      </w:r>
      <w:proofErr w:type="spellStart"/>
      <w:r>
        <w:rPr>
          <w:rFonts w:ascii="Cambria" w:eastAsia="Cambria" w:hAnsi="Cambria" w:cs="Cambria"/>
          <w:sz w:val="24"/>
          <w:szCs w:val="24"/>
        </w:rPr>
        <w:t>Čika</w:t>
      </w:r>
      <w:proofErr w:type="spellEnd"/>
      <w:r>
        <w:rPr>
          <w:rFonts w:ascii="Cambria" w:eastAsia="Cambria" w:hAnsi="Cambria" w:cs="Cambria"/>
          <w:sz w:val="24"/>
          <w:szCs w:val="24"/>
        </w:rPr>
        <w:t xml:space="preserve"> Ljubina 18-20 11000 </w:t>
      </w:r>
      <w:proofErr w:type="spellStart"/>
      <w:r>
        <w:rPr>
          <w:rFonts w:ascii="Cambria" w:eastAsia="Cambria" w:hAnsi="Cambria" w:cs="Cambria"/>
          <w:sz w:val="24"/>
          <w:szCs w:val="24"/>
        </w:rPr>
        <w:t>Belgrade,</w:t>
      </w:r>
      <w:hyperlink r:id="rId10">
        <w:r w:rsidR="00C15A74">
          <w:rPr>
            <w:rFonts w:ascii="Cambria" w:eastAsia="Cambria" w:hAnsi="Cambria" w:cs="Cambria"/>
            <w:color w:val="1155CC"/>
            <w:sz w:val="24"/>
            <w:szCs w:val="24"/>
            <w:u w:val="single"/>
          </w:rPr>
          <w:t>smstefan@f.bg.ac.rs</w:t>
        </w:r>
        <w:proofErr w:type="spellEnd"/>
      </w:hyperlink>
      <w:r>
        <w:rPr>
          <w:rFonts w:ascii="Cambria" w:eastAsia="Cambria" w:hAnsi="Cambria" w:cs="Cambria"/>
          <w:sz w:val="24"/>
          <w:szCs w:val="24"/>
        </w:rPr>
        <w:t>;  ORCID: 0000-0001-7434-8788</w:t>
      </w:r>
    </w:p>
    <w:p w14:paraId="52ECE183" w14:textId="77777777" w:rsidR="00C15A74" w:rsidRDefault="00000000">
      <w:pPr>
        <w:spacing w:before="240" w:after="240"/>
        <w:rPr>
          <w:rFonts w:ascii="Cambria" w:eastAsia="Cambria" w:hAnsi="Cambria" w:cs="Cambria"/>
          <w:sz w:val="24"/>
          <w:szCs w:val="24"/>
        </w:rPr>
      </w:pPr>
      <w:r>
        <w:rPr>
          <w:rFonts w:ascii="Cambria" w:eastAsia="Cambria" w:hAnsi="Cambria" w:cs="Cambria"/>
          <w:sz w:val="24"/>
          <w:szCs w:val="24"/>
          <w:vertAlign w:val="superscript"/>
        </w:rPr>
        <w:t>1</w:t>
      </w:r>
      <w:r>
        <w:rPr>
          <w:rFonts w:ascii="Cambria" w:eastAsia="Cambria" w:hAnsi="Cambria" w:cs="Cambria"/>
          <w:sz w:val="24"/>
          <w:szCs w:val="24"/>
        </w:rPr>
        <w:t xml:space="preserve">Laboratory for </w:t>
      </w:r>
      <w:proofErr w:type="spellStart"/>
      <w:r>
        <w:rPr>
          <w:rFonts w:ascii="Cambria" w:eastAsia="Cambria" w:hAnsi="Cambria" w:cs="Cambria"/>
          <w:sz w:val="24"/>
          <w:szCs w:val="24"/>
        </w:rPr>
        <w:t>Bioarchaeology</w:t>
      </w:r>
      <w:proofErr w:type="spellEnd"/>
      <w:r>
        <w:rPr>
          <w:rFonts w:ascii="Cambria" w:eastAsia="Cambria" w:hAnsi="Cambria" w:cs="Cambria"/>
          <w:sz w:val="24"/>
          <w:szCs w:val="24"/>
        </w:rPr>
        <w:t>, Department of Archaeology, Faculty of Philosophy, University of Belgrade</w:t>
      </w:r>
    </w:p>
    <w:p w14:paraId="520B4D72" w14:textId="6E132F80" w:rsidR="00AE439D" w:rsidRPr="00AE439D" w:rsidRDefault="00AE439D">
      <w:pPr>
        <w:spacing w:before="240" w:after="240"/>
        <w:rPr>
          <w:rFonts w:ascii="Cambria" w:eastAsia="Cambria" w:hAnsi="Cambria" w:cs="Cambria"/>
          <w:b/>
          <w:bCs/>
          <w:sz w:val="24"/>
          <w:szCs w:val="24"/>
        </w:rPr>
      </w:pPr>
      <w:r w:rsidRPr="00AE439D">
        <w:rPr>
          <w:rFonts w:ascii="Cambria" w:eastAsia="Cambria" w:hAnsi="Cambria" w:cs="Cambria"/>
          <w:b/>
          <w:bCs/>
          <w:sz w:val="24"/>
          <w:szCs w:val="24"/>
        </w:rPr>
        <w:t>Acknowledgments:</w:t>
      </w:r>
    </w:p>
    <w:p w14:paraId="6E490A7C" w14:textId="77777777" w:rsidR="00AE439D" w:rsidRPr="00AE439D" w:rsidRDefault="00AE439D" w:rsidP="00AE439D">
      <w:pPr>
        <w:spacing w:before="240" w:after="240"/>
        <w:rPr>
          <w:rFonts w:ascii="Cambria" w:eastAsia="Cambria" w:hAnsi="Cambria" w:cs="Cambria"/>
          <w:sz w:val="24"/>
          <w:szCs w:val="24"/>
          <w:lang w:val="en-US"/>
        </w:rPr>
      </w:pPr>
      <w:r w:rsidRPr="00AE439D">
        <w:rPr>
          <w:rFonts w:ascii="Cambria" w:eastAsia="Cambria" w:hAnsi="Cambria" w:cs="Cambria"/>
          <w:sz w:val="24"/>
          <w:szCs w:val="24"/>
          <w:lang w:val="en-US"/>
        </w:rPr>
        <w:t xml:space="preserve">This research was supported by the Science Fund of the Republic of Serbia, GRANT No 6683. </w:t>
      </w:r>
      <w:r w:rsidRPr="00AE439D">
        <w:rPr>
          <w:rFonts w:ascii="Cambria" w:eastAsia="Cambria" w:hAnsi="Cambria" w:cs="Cambria"/>
          <w:b/>
          <w:bCs/>
          <w:sz w:val="24"/>
          <w:szCs w:val="24"/>
          <w:lang w:val="en-US"/>
        </w:rPr>
        <w:t>INFANO</w:t>
      </w:r>
      <w:r w:rsidRPr="00AE439D">
        <w:rPr>
          <w:rFonts w:ascii="Cambria" w:eastAsia="Cambria" w:hAnsi="Cambria" w:cs="Cambria"/>
          <w:sz w:val="24"/>
          <w:szCs w:val="24"/>
          <w:lang w:val="en-US"/>
        </w:rPr>
        <w:t xml:space="preserve"> Girls and Boys in the Bronze Age Europe: Influence of biological sex on health, growth, nutrition and social position 2100-1500 BC.</w:t>
      </w:r>
    </w:p>
    <w:p w14:paraId="3C5D963C" w14:textId="77777777" w:rsidR="00AE439D" w:rsidRDefault="00AE439D">
      <w:pPr>
        <w:spacing w:before="240" w:after="240"/>
        <w:rPr>
          <w:rFonts w:ascii="Cambria" w:eastAsia="Cambria" w:hAnsi="Cambria" w:cs="Cambria"/>
          <w:sz w:val="24"/>
          <w:szCs w:val="24"/>
        </w:rPr>
      </w:pPr>
    </w:p>
    <w:p w14:paraId="6BDF24FB" w14:textId="77777777" w:rsidR="00C15A74" w:rsidRDefault="00000000">
      <w:pPr>
        <w:spacing w:before="240" w:after="240"/>
        <w:rPr>
          <w:rFonts w:ascii="Cambria" w:eastAsia="Cambria" w:hAnsi="Cambria" w:cs="Cambria"/>
          <w:b/>
          <w:sz w:val="24"/>
          <w:szCs w:val="24"/>
        </w:rPr>
      </w:pPr>
      <w:r>
        <w:rPr>
          <w:rFonts w:ascii="Cambria" w:eastAsia="Cambria" w:hAnsi="Cambria" w:cs="Cambria"/>
          <w:b/>
          <w:sz w:val="24"/>
          <w:szCs w:val="24"/>
        </w:rPr>
        <w:t>Abstracts in English and German (150 words each), up to 7 keywords</w:t>
      </w:r>
    </w:p>
    <w:p w14:paraId="6A9A979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This study explores the relationship between biological sex, gender, and funerary practices at the bronze age necropolises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in Northern Serbia, focusing on the correlations between grave goods, grave size, body orientation, and sex. Statistical analyses reveal that while certain grave goods show weak to moderate sex-based correlations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they are not reliable predictors of biological sex. In contrast, burial orientation demonstrates a consistent and statistically significant correlation with sex at both sites, suggesting it was highly influenced by gender norms. These findings indicate a complex interplay between gender and social status in Maros funerary customs. The study highlights the need for future research on subadult burials to better understand gender from childhood </w:t>
      </w:r>
      <w:r>
        <w:rPr>
          <w:rFonts w:ascii="Cambria" w:eastAsia="Cambria" w:hAnsi="Cambria" w:cs="Cambria"/>
          <w:sz w:val="24"/>
          <w:szCs w:val="24"/>
        </w:rPr>
        <w:lastRenderedPageBreak/>
        <w:t xml:space="preserve">to adulthood, including questions of rites of passage and social status of boys and girls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w:t>
      </w:r>
    </w:p>
    <w:p w14:paraId="47B72133" w14:textId="77777777" w:rsidR="00C15A74" w:rsidRDefault="00000000">
      <w:pPr>
        <w:spacing w:before="240" w:after="240"/>
        <w:rPr>
          <w:rFonts w:ascii="Cambria" w:eastAsia="Cambria" w:hAnsi="Cambria" w:cs="Cambria"/>
          <w:sz w:val="24"/>
          <w:szCs w:val="24"/>
        </w:rPr>
      </w:pPr>
      <w:r>
        <w:rPr>
          <w:rFonts w:ascii="Cambria" w:eastAsia="Cambria" w:hAnsi="Cambria" w:cs="Cambria"/>
          <w:b/>
          <w:sz w:val="24"/>
          <w:szCs w:val="24"/>
        </w:rPr>
        <w:t xml:space="preserve">Keywords: </w:t>
      </w:r>
      <w:r>
        <w:rPr>
          <w:rFonts w:ascii="Cambria" w:eastAsia="Cambria" w:hAnsi="Cambria" w:cs="Cambria"/>
          <w:sz w:val="24"/>
          <w:szCs w:val="24"/>
        </w:rPr>
        <w:t>Bronze age</w:t>
      </w:r>
      <w:r>
        <w:rPr>
          <w:rFonts w:ascii="Cambria" w:eastAsia="Cambria" w:hAnsi="Cambria" w:cs="Cambria"/>
          <w:b/>
          <w:sz w:val="24"/>
          <w:szCs w:val="24"/>
        </w:rPr>
        <w:t xml:space="preserve">, </w:t>
      </w:r>
      <w:r>
        <w:rPr>
          <w:rFonts w:ascii="Cambria" w:eastAsia="Cambria" w:hAnsi="Cambria" w:cs="Cambria"/>
          <w:sz w:val="24"/>
          <w:szCs w:val="24"/>
        </w:rPr>
        <w:t>Maros culture</w:t>
      </w:r>
      <w:r>
        <w:rPr>
          <w:rFonts w:ascii="Cambria" w:eastAsia="Cambria" w:hAnsi="Cambria" w:cs="Cambria"/>
          <w:b/>
          <w:sz w:val="24"/>
          <w:szCs w:val="24"/>
        </w:rPr>
        <w:t xml:space="preserve">, </w:t>
      </w:r>
      <w:r>
        <w:rPr>
          <w:rFonts w:ascii="Cambria" w:eastAsia="Cambria" w:hAnsi="Cambria" w:cs="Cambria"/>
          <w:sz w:val="24"/>
          <w:szCs w:val="24"/>
        </w:rPr>
        <w:t xml:space="preserve">gender, grave goods, body orientation, </w:t>
      </w:r>
      <w:proofErr w:type="spellStart"/>
      <w:r>
        <w:rPr>
          <w:rFonts w:ascii="Cambria" w:eastAsia="Cambria" w:hAnsi="Cambria" w:cs="Cambria"/>
          <w:sz w:val="24"/>
          <w:szCs w:val="24"/>
        </w:rPr>
        <w:t>Mokrin</w:t>
      </w:r>
      <w:proofErr w:type="spellEnd"/>
      <w:r>
        <w:rPr>
          <w:rFonts w:ascii="Cambria" w:eastAsia="Cambria" w:hAnsi="Cambria" w:cs="Cambria"/>
          <w:sz w:val="24"/>
          <w:szCs w:val="24"/>
        </w:rPr>
        <w:t>, Ostojićevo</w:t>
      </w:r>
    </w:p>
    <w:p w14:paraId="57818016" w14:textId="77777777" w:rsidR="00C15A74" w:rsidRDefault="00C15A74">
      <w:pPr>
        <w:spacing w:before="240" w:after="240"/>
        <w:rPr>
          <w:rFonts w:ascii="Cambria" w:eastAsia="Cambria" w:hAnsi="Cambria" w:cs="Cambria"/>
          <w:b/>
          <w:sz w:val="24"/>
          <w:szCs w:val="24"/>
        </w:rPr>
      </w:pPr>
    </w:p>
    <w:p w14:paraId="35A5BE28" w14:textId="2D64FCEB" w:rsidR="00C15A74" w:rsidRPr="00AE439D" w:rsidRDefault="00000000">
      <w:pPr>
        <w:spacing w:before="240" w:after="240"/>
      </w:pPr>
      <w:r>
        <w:t xml:space="preserve"> </w:t>
      </w:r>
      <w:r>
        <w:rPr>
          <w:rFonts w:ascii="Cambria" w:eastAsia="Cambria" w:hAnsi="Cambria" w:cs="Cambria"/>
          <w:b/>
          <w:sz w:val="24"/>
          <w:szCs w:val="24"/>
        </w:rPr>
        <w:t>Introduction</w:t>
      </w:r>
    </w:p>
    <w:p w14:paraId="327CDC46"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debate about sex and gender in the past and their importance for the research of past societies (especially those that left no written record) has been ongoing for the last three decades (Robb and Harris 2018; </w:t>
      </w:r>
      <w:proofErr w:type="spellStart"/>
      <w:r>
        <w:rPr>
          <w:rFonts w:ascii="Cambria" w:eastAsia="Cambria" w:hAnsi="Cambria" w:cs="Cambria"/>
          <w:sz w:val="24"/>
          <w:szCs w:val="24"/>
        </w:rPr>
        <w:t>Gaydarska</w:t>
      </w:r>
      <w:proofErr w:type="spellEnd"/>
      <w:r>
        <w:rPr>
          <w:rFonts w:ascii="Cambria" w:eastAsia="Cambria" w:hAnsi="Cambria" w:cs="Cambria"/>
          <w:sz w:val="24"/>
          <w:szCs w:val="24"/>
        </w:rPr>
        <w:t xml:space="preserve"> et al. 2023). Drawing inspiration from Second Wave Feminism, and leaning into the notion that gender is a cultural expression of biological sex, gender archaeology dived into analyzing different ways of being a man or a woman in the past. Researchers have been trying out different models and approaches to analyzing, shaping, and representing both sex and gender of the past peoples with varying levels of critique. Most of the criticism was for the use of a simple dichotomy of sex and gender in the research (Marshall 2013; Robb and Harris 2013), but those critiques largely remained only in theoretical works and were not used in practice (Robb and Harris 2018). With the advent of the Third Science Revolution (Kristiansen 2014; 2022) and the wider availability of measurable and reliable analytical methods for biological sex determination, archaeologists do not need to rely solely on standard macroscopic methods, which have certain limitations, and the recent literature reflects this change (</w:t>
      </w:r>
      <w:proofErr w:type="spellStart"/>
      <w:r>
        <w:rPr>
          <w:rFonts w:ascii="Cambria" w:eastAsia="Cambria" w:hAnsi="Cambria" w:cs="Cambria"/>
          <w:sz w:val="24"/>
          <w:szCs w:val="24"/>
        </w:rPr>
        <w:t>Gaydarska</w:t>
      </w:r>
      <w:proofErr w:type="spellEnd"/>
      <w:r>
        <w:rPr>
          <w:rFonts w:ascii="Cambria" w:eastAsia="Cambria" w:hAnsi="Cambria" w:cs="Cambria"/>
          <w:sz w:val="24"/>
          <w:szCs w:val="24"/>
        </w:rPr>
        <w:t xml:space="preserve"> et al. 2024:7-8). By using precisely determined biological sex (either by </w:t>
      </w:r>
      <w:proofErr w:type="spellStart"/>
      <w:r>
        <w:rPr>
          <w:rFonts w:ascii="Cambria" w:eastAsia="Cambria" w:hAnsi="Cambria" w:cs="Cambria"/>
          <w:sz w:val="24"/>
          <w:szCs w:val="24"/>
        </w:rPr>
        <w:t>aDNA</w:t>
      </w:r>
      <w:proofErr w:type="spellEnd"/>
      <w:r>
        <w:rPr>
          <w:rFonts w:ascii="Cambria" w:eastAsia="Cambria" w:hAnsi="Cambria" w:cs="Cambria"/>
          <w:sz w:val="24"/>
          <w:szCs w:val="24"/>
        </w:rPr>
        <w:t xml:space="preserve"> or the analysis of tooth enamel peptides) together with the archaeological analysis of the grave goods and body treatment, we can answer important questions about sex, gender, social roles, and status for many past communities. </w:t>
      </w:r>
    </w:p>
    <w:p w14:paraId="7B1B37CD"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In their 2018 paper, J. Robb and O.J.T. Harris argued that, unlike the more fluid and contextualized gender in the Neolithic, in the Bronze Age, male and female identities are much more distinct, and especially dominant in the burial ritual. They claim that while the gender in Bronze was not exclusively and narrowly </w:t>
      </w:r>
      <w:proofErr w:type="gramStart"/>
      <w:r>
        <w:rPr>
          <w:rFonts w:ascii="Cambria" w:eastAsia="Cambria" w:hAnsi="Cambria" w:cs="Cambria"/>
          <w:sz w:val="24"/>
          <w:szCs w:val="24"/>
        </w:rPr>
        <w:t>binary,  for</w:t>
      </w:r>
      <w:proofErr w:type="gramEnd"/>
      <w:r>
        <w:rPr>
          <w:rFonts w:ascii="Cambria" w:eastAsia="Cambria" w:hAnsi="Cambria" w:cs="Cambria"/>
          <w:sz w:val="24"/>
          <w:szCs w:val="24"/>
        </w:rPr>
        <w:t xml:space="preserve"> the most part it can be regarded as binary (Robb and Harris 2018:5). Their claims are supported by widespread evidence of binary gender in Bronze Age Europe, especially from funerary contexts (cf. Robb and Harris: 3-5). </w:t>
      </w:r>
    </w:p>
    <w:p w14:paraId="5E38B386"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A number of studies have addressed gender identities in the Early Bronze Age Maros culture of the Banat region in Northern Serbia, with most exploring differences between men and women in terms of funerary practices, social status, physical activity, and health. Most of these studies are based on the archaeological material from the two sites examined in this study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with differing research perspectives and research questions.</w:t>
      </w:r>
    </w:p>
    <w:p w14:paraId="404C05DA"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lastRenderedPageBreak/>
        <w:t xml:space="preserve">J. O’Shea analyzed the grave goods from all Maros necropolises, except Ostojićevo, to understand the social stratification of this cultural group, using typological classifications and the spatial distribution of grave goods (O’Shea 1996). He concluded that certain types of grave goods conveyed information about the different social statuses of the deceased, but also that certain grave goods are sex-specific (O’Shea 1996). </w:t>
      </w:r>
    </w:p>
    <w:p w14:paraId="3F8964C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E. Rega, in her unpublished PhD thesis (1995), explored vertical and horizontal social differentiation in relation to biological data from skeletal remains. Also, she researched how the social distinctions are represented in the material remains of the mortuary ritual (Rega 1997).</w:t>
      </w:r>
      <w:r>
        <w:rPr>
          <w:rFonts w:ascii="Calibri" w:eastAsia="Calibri" w:hAnsi="Calibri" w:cs="Calibri"/>
          <w:sz w:val="24"/>
          <w:szCs w:val="24"/>
        </w:rPr>
        <w:t xml:space="preserve"> </w:t>
      </w:r>
      <w:r>
        <w:rPr>
          <w:rFonts w:ascii="Cambria" w:eastAsia="Cambria" w:hAnsi="Cambria" w:cs="Cambria"/>
          <w:sz w:val="24"/>
          <w:szCs w:val="24"/>
        </w:rPr>
        <w:t xml:space="preserve">Rega (2000) also examined the relationship between biological sex and burial orientation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finding that in 94% of cases, the estimated biological sex matched the orientation norms for males and females in the Maros culture. The author </w:t>
      </w:r>
      <w:proofErr w:type="spellStart"/>
      <w:r>
        <w:rPr>
          <w:rFonts w:ascii="Cambria" w:eastAsia="Cambria" w:hAnsi="Cambria" w:cs="Cambria"/>
          <w:sz w:val="24"/>
          <w:szCs w:val="24"/>
        </w:rPr>
        <w:t>hypothesised</w:t>
      </w:r>
      <w:proofErr w:type="spellEnd"/>
      <w:r>
        <w:rPr>
          <w:rFonts w:ascii="Cambria" w:eastAsia="Cambria" w:hAnsi="Cambria" w:cs="Cambria"/>
          <w:sz w:val="24"/>
          <w:szCs w:val="24"/>
        </w:rPr>
        <w:t xml:space="preserve"> that the children buried 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had the same funerary treatment as adults. For this research, the author estimated the biological sex of children by comparing their tooth size and using a discriminant function based on the data gained from adults. She concluded that gender was encoded in the graves of both adults and children buried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(Rega 2000). Children's funerary ritual was the subject of a master's thesis by M. Amzirkov (2020), correlating different aspects of burial attributes with age and sex assumed based on the individual's orientation. </w:t>
      </w:r>
    </w:p>
    <w:p w14:paraId="14ECAF78"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Questions of gender were also explored through the prism of physical activity. S. Stefanović (</w:t>
      </w:r>
      <w:proofErr w:type="spellStart"/>
      <w:r>
        <w:rPr>
          <w:rFonts w:ascii="Cambria" w:eastAsia="Cambria" w:hAnsi="Cambria" w:cs="Cambria"/>
          <w:sz w:val="24"/>
          <w:szCs w:val="24"/>
        </w:rPr>
        <w:t>Стефановић</w:t>
      </w:r>
      <w:proofErr w:type="spellEnd"/>
      <w:r>
        <w:rPr>
          <w:rFonts w:ascii="Cambria" w:eastAsia="Cambria" w:hAnsi="Cambria" w:cs="Cambria"/>
          <w:sz w:val="24"/>
          <w:szCs w:val="24"/>
        </w:rPr>
        <w:t xml:space="preserve"> 2008) and 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and Stefanović 2009; Stefanović and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2013) analyzed physical activity markers in men and women and their correlation with social status. At Ostojićevo, physical activity markers were studied by D. Vučetić in her doctoral dissertation (Vučetić 2015). The results of these studies implied differing patterns of physical activity among men and women of the same social status. </w:t>
      </w:r>
    </w:p>
    <w:p w14:paraId="57143B66"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Gender was also a key part of two studies dealing with health, longevity and social status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2022) and Ostojićevo (</w:t>
      </w:r>
      <w:proofErr w:type="spellStart"/>
      <w:r>
        <w:rPr>
          <w:rFonts w:ascii="Cambria" w:eastAsia="Cambria" w:hAnsi="Cambria" w:cs="Cambria"/>
          <w:sz w:val="24"/>
          <w:szCs w:val="24"/>
        </w:rPr>
        <w:t>Pompeani</w:t>
      </w:r>
      <w:proofErr w:type="spellEnd"/>
      <w:r>
        <w:rPr>
          <w:rFonts w:ascii="Cambria" w:eastAsia="Cambria" w:hAnsi="Cambria" w:cs="Cambria"/>
          <w:sz w:val="24"/>
          <w:szCs w:val="24"/>
        </w:rPr>
        <w:t xml:space="preserve"> 2020).  </w:t>
      </w:r>
    </w:p>
    <w:p w14:paraId="3E37A9B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Kinship analysis was conducted on 24 individuals from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 which also explored different pathways to achieving and/or acquiring social status for men and women. </w:t>
      </w:r>
    </w:p>
    <w:p w14:paraId="7876E6BC" w14:textId="77777777" w:rsidR="00C15A74" w:rsidRDefault="00000000">
      <w:pPr>
        <w:spacing w:before="240" w:after="240"/>
        <w:jc w:val="both"/>
        <w:rPr>
          <w:rFonts w:ascii="Cambria" w:eastAsia="Cambria" w:hAnsi="Cambria" w:cs="Cambria"/>
          <w:sz w:val="24"/>
          <w:szCs w:val="24"/>
          <w:highlight w:val="yellow"/>
        </w:rPr>
      </w:pPr>
      <w:r>
        <w:rPr>
          <w:rFonts w:ascii="Cambria" w:eastAsia="Cambria" w:hAnsi="Cambria" w:cs="Cambria"/>
          <w:sz w:val="24"/>
          <w:szCs w:val="24"/>
        </w:rPr>
        <w:t xml:space="preserve">The first study to directly address questions of gender identity was done by 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(2010), who </w:t>
      </w:r>
      <w:proofErr w:type="spellStart"/>
      <w:r>
        <w:rPr>
          <w:rFonts w:ascii="Cambria" w:eastAsia="Cambria" w:hAnsi="Cambria" w:cs="Cambria"/>
          <w:sz w:val="24"/>
          <w:szCs w:val="24"/>
        </w:rPr>
        <w:t>analysed</w:t>
      </w:r>
      <w:proofErr w:type="spellEnd"/>
      <w:r>
        <w:rPr>
          <w:rFonts w:ascii="Cambria" w:eastAsia="Cambria" w:hAnsi="Cambria" w:cs="Cambria"/>
          <w:sz w:val="24"/>
          <w:szCs w:val="24"/>
        </w:rPr>
        <w:t xml:space="preserve"> the cases of individuals buried 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in the opposite orientation compared to their biological sex, where he concluded the existence of inverted gender identities. Additionally, U. Matić (2012) in his paper criticizes the binary division of gender and sex in the past population, and, relying on M. </w:t>
      </w:r>
      <w:proofErr w:type="spellStart"/>
      <w:r>
        <w:rPr>
          <w:rFonts w:ascii="Cambria" w:eastAsia="Cambria" w:hAnsi="Cambria" w:cs="Cambria"/>
          <w:sz w:val="24"/>
          <w:szCs w:val="24"/>
        </w:rPr>
        <w:t>Porčić's</w:t>
      </w:r>
      <w:proofErr w:type="spellEnd"/>
      <w:r>
        <w:rPr>
          <w:rFonts w:ascii="Cambria" w:eastAsia="Cambria" w:hAnsi="Cambria" w:cs="Cambria"/>
          <w:sz w:val="24"/>
          <w:szCs w:val="24"/>
        </w:rPr>
        <w:t xml:space="preserve"> (2010) paper, discusses gender issues based on the example of the individual buried in grave no. 10 from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w:t>
      </w:r>
    </w:p>
    <w:p w14:paraId="047EB3E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lastRenderedPageBreak/>
        <w:t xml:space="preserve">Currently, children's skeletal remains from </w:t>
      </w:r>
      <w:proofErr w:type="spellStart"/>
      <w:r>
        <w:rPr>
          <w:rFonts w:ascii="Cambria" w:eastAsia="Cambria" w:hAnsi="Cambria" w:cs="Cambria"/>
          <w:sz w:val="24"/>
          <w:szCs w:val="24"/>
        </w:rPr>
        <w:t>Mokin</w:t>
      </w:r>
      <w:proofErr w:type="spellEnd"/>
      <w:r>
        <w:rPr>
          <w:rFonts w:ascii="Cambria" w:eastAsia="Cambria" w:hAnsi="Cambria" w:cs="Cambria"/>
          <w:sz w:val="24"/>
          <w:szCs w:val="24"/>
        </w:rPr>
        <w:t xml:space="preserve"> and Ostojićevo are the subject of a doctoral dissertation, and with the newly available data, it is hoped that it will shed more light on gender relations during the Early Bronze Age in the Banat region. </w:t>
      </w:r>
    </w:p>
    <w:p w14:paraId="0BC89DA2"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aim of our study is to explore the gender structure of the Early Bronze Age Maros society by comparing sex, as a biological category, with cultural treatment of the deceased, which should provide insight into how gender was constructed by the community and by individuals themselves. Our study is based on the funerary data from two Early Bronze Age necropolises traditionally assigned to the Maros culture - Ostojićevo and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Regarding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the association of different aspects of the funerary program (orientation, grave goods) with gender is well established by previous research (O’Shea 1996). So, for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our study is a replication of previous research, which reaffirms previous results, adding a few additional details. On the other hand, no such study has been performed for the Ostojićevo, so this is the first time that the association of gender and funerary practice has been explored for this necropolis. We compare the patterns 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and discuss the results in light of the Robb and Harris hypothesis, which proposes dominantly binary conceptualizations of gender in Bronze Age Europe.  To gain further insights into the relationship between biological sex and gender, we conducted teeth peptide analysis on a few samples or used available </w:t>
      </w:r>
      <w:proofErr w:type="spellStart"/>
      <w:r>
        <w:rPr>
          <w:rFonts w:ascii="Cambria" w:eastAsia="Cambria" w:hAnsi="Cambria" w:cs="Cambria"/>
          <w:sz w:val="24"/>
          <w:szCs w:val="24"/>
        </w:rPr>
        <w:t>aDNA</w:t>
      </w:r>
      <w:proofErr w:type="spellEnd"/>
      <w:r>
        <w:rPr>
          <w:rFonts w:ascii="Cambria" w:eastAsia="Cambria" w:hAnsi="Cambria" w:cs="Cambria"/>
          <w:sz w:val="24"/>
          <w:szCs w:val="24"/>
        </w:rPr>
        <w:t xml:space="preserve"> results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 for several adult individuals reported to be buried in orientations that deviate from the expected Maros funerary norms (graves No. 10, 79, 88, 122/S, and 281) as detailed in M. </w:t>
      </w:r>
      <w:proofErr w:type="spellStart"/>
      <w:r>
        <w:rPr>
          <w:rFonts w:ascii="Cambria" w:eastAsia="Cambria" w:hAnsi="Cambria" w:cs="Cambria"/>
          <w:sz w:val="24"/>
          <w:szCs w:val="24"/>
        </w:rPr>
        <w:t>Porčić's</w:t>
      </w:r>
      <w:proofErr w:type="spellEnd"/>
      <w:r>
        <w:rPr>
          <w:rFonts w:ascii="Cambria" w:eastAsia="Cambria" w:hAnsi="Cambria" w:cs="Cambria"/>
          <w:sz w:val="24"/>
          <w:szCs w:val="24"/>
        </w:rPr>
        <w:t xml:space="preserve"> study (2010).</w:t>
      </w:r>
    </w:p>
    <w:p w14:paraId="2A53F4DE" w14:textId="77777777" w:rsidR="00C15A74" w:rsidRDefault="00C15A74">
      <w:pPr>
        <w:spacing w:before="240" w:after="240"/>
        <w:jc w:val="both"/>
      </w:pPr>
    </w:p>
    <w:p w14:paraId="71E5B825" w14:textId="77777777" w:rsidR="00C15A74" w:rsidRDefault="00000000">
      <w:pPr>
        <w:spacing w:before="240" w:after="240"/>
        <w:rPr>
          <w:rFonts w:ascii="Cambria" w:eastAsia="Cambria" w:hAnsi="Cambria" w:cs="Cambria"/>
          <w:sz w:val="24"/>
          <w:szCs w:val="24"/>
        </w:rPr>
      </w:pPr>
      <w:r>
        <w:rPr>
          <w:rFonts w:ascii="Cambria" w:eastAsia="Cambria" w:hAnsi="Cambria" w:cs="Cambria"/>
          <w:b/>
          <w:sz w:val="24"/>
          <w:szCs w:val="24"/>
        </w:rPr>
        <w:t>Materials and methods</w:t>
      </w:r>
    </w:p>
    <w:p w14:paraId="14D658EF"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material analyzed in this study comes from two Bronze Age Maros culture sites in the northern Banat region of Serbia: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(Fig 1).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extends along the eastern outskirts of the eponymous village near Kikinda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Based on 15 absolute dates, it was in use from approximately 2100 to 1800 BC (O’Shea 1992,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et al. 2025). Systematic excavations conducted in the 1960s under the direction of archaeologist Milorad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from the National Museum in Kikinda uncovered 312 graves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while smaller-scale re-excavations between 2020 and 2024 revealed 18 additional graves, 11 of which were dated to the early Bronze Age Maros culture, one Sarmatian grave dated to the 1st-2nd century, and five graves dated to 11th-13th century. The majority of burials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are inhumations in individual graves along with three double burials and one grave containing three individuals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Only nine cremation or symbolic graves have been recorded, along with three double burials and one grave containing three individuals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Nearly all individuals were placed in a flexed position, lying on their left or right side, with arms bent at the elbows, upper arms drawn </w:t>
      </w:r>
      <w:r>
        <w:rPr>
          <w:rFonts w:ascii="Cambria" w:eastAsia="Cambria" w:hAnsi="Cambria" w:cs="Cambria"/>
          <w:sz w:val="24"/>
          <w:szCs w:val="24"/>
        </w:rPr>
        <w:lastRenderedPageBreak/>
        <w:t xml:space="preserve">toward the chest, and legs bent at the knees, with the </w:t>
      </w:r>
      <w:proofErr w:type="gramStart"/>
      <w:r>
        <w:rPr>
          <w:rFonts w:ascii="Cambria" w:eastAsia="Cambria" w:hAnsi="Cambria" w:cs="Cambria"/>
          <w:sz w:val="24"/>
          <w:szCs w:val="24"/>
        </w:rPr>
        <w:t>face oriented</w:t>
      </w:r>
      <w:proofErr w:type="gramEnd"/>
      <w:r>
        <w:rPr>
          <w:rFonts w:ascii="Cambria" w:eastAsia="Cambria" w:hAnsi="Cambria" w:cs="Cambria"/>
          <w:sz w:val="24"/>
          <w:szCs w:val="24"/>
        </w:rPr>
        <w:t xml:space="preserve"> eastward. Orientation followed a normative funerary treatment of Maros culture based on the sex of the deceased. In graves where burial positions could be determined, men were typically placed on their left side, with their heads to the north and faces turned eastward, resulting in north-south grave orientations. Women, by contrast, were placed on their right side, with their heads to the south and faces also turned eastward, aligning the grave pits south-north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However, some deviations exist, including cases of women buried in a "male" orientation and men in a "female" orientation. Only two graves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significantly deviated from these norms - grave 193, containing a child, and grave 299, containing an adult, both lacking grave goods and oriented west-east/east-west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For this study, we have re-</w:t>
      </w:r>
      <w:proofErr w:type="spellStart"/>
      <w:r>
        <w:rPr>
          <w:rFonts w:ascii="Cambria" w:eastAsia="Cambria" w:hAnsi="Cambria" w:cs="Cambria"/>
          <w:sz w:val="24"/>
          <w:szCs w:val="24"/>
        </w:rPr>
        <w:t>analysed</w:t>
      </w:r>
      <w:proofErr w:type="spellEnd"/>
      <w:r>
        <w:rPr>
          <w:rFonts w:ascii="Cambria" w:eastAsia="Cambria" w:hAnsi="Cambria" w:cs="Cambria"/>
          <w:sz w:val="24"/>
          <w:szCs w:val="24"/>
        </w:rPr>
        <w:t xml:space="preserve"> 158 graves, for which we had data on the funerary ritual, i.e. orientation, dimensions of the burial pit, grave goods, as well as sex and age estimated through osteological analysis. For the purposes of our analysis, only categories of grave goods present in five or more graves were included.  Graves lacking any of the selected classes of grave goods, as well as those without grave goods altogether, were excluded from the analysis.</w:t>
      </w:r>
    </w:p>
    <w:p w14:paraId="7E1E751A" w14:textId="77777777" w:rsidR="00C15A74" w:rsidRDefault="00000000">
      <w:pPr>
        <w:spacing w:before="240" w:after="240"/>
        <w:jc w:val="both"/>
        <w:rPr>
          <w:rFonts w:ascii="Cambria" w:eastAsia="Cambria" w:hAnsi="Cambria" w:cs="Cambria"/>
          <w:color w:val="9900FF"/>
          <w:sz w:val="24"/>
          <w:szCs w:val="24"/>
        </w:rPr>
      </w:pPr>
      <w:r>
        <w:rPr>
          <w:rFonts w:ascii="Cambria" w:eastAsia="Cambria" w:hAnsi="Cambria" w:cs="Cambria"/>
          <w:sz w:val="24"/>
          <w:szCs w:val="24"/>
        </w:rPr>
        <w:t xml:space="preserve">The site of Ostojićevo, like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is located near Kikinda in northern Banat (Fig 1). Situated on the outskirts of the eponymous village, it lies along the former bank of a now-dry meander of the Tisza River. Initially recorded in 1954 during the construction of an embankment along the canal, the site underwent systematic excavations between 1981 and 1991 under the direction of archaeologists Milorad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and Stevan Vojvodić from the National Museum in Kikinda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1959, 1995; </w:t>
      </w: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2008). The necropolis comprises two distinct horizons: an older Early Bronze Age Maros culture horizon with 78 graves and a later Middle Bronze Age horizon containing 208 graves, including 103 burials in ceramic vessels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1995; Marin et al. 2024). Based on absolute radiocarbon dates, Ostojićevo was first used several centuries after the establishment of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from around 1900 </w:t>
      </w:r>
      <w:proofErr w:type="spellStart"/>
      <w:r>
        <w:rPr>
          <w:rFonts w:ascii="Cambria" w:eastAsia="Cambria" w:hAnsi="Cambria" w:cs="Cambria"/>
          <w:sz w:val="24"/>
          <w:szCs w:val="24"/>
        </w:rPr>
        <w:t>calBC</w:t>
      </w:r>
      <w:proofErr w:type="spellEnd"/>
      <w:r>
        <w:rPr>
          <w:rFonts w:ascii="Cambria" w:eastAsia="Cambria" w:hAnsi="Cambria" w:cs="Cambria"/>
          <w:sz w:val="24"/>
          <w:szCs w:val="24"/>
        </w:rPr>
        <w:t xml:space="preserve">, and remained in use throughout the Middle Bronze Age until 1550 </w:t>
      </w:r>
      <w:proofErr w:type="spellStart"/>
      <w:r>
        <w:rPr>
          <w:rFonts w:ascii="Cambria" w:eastAsia="Cambria" w:hAnsi="Cambria" w:cs="Cambria"/>
          <w:sz w:val="24"/>
          <w:szCs w:val="24"/>
        </w:rPr>
        <w:t>calBC</w:t>
      </w:r>
      <w:proofErr w:type="spellEnd"/>
      <w:r>
        <w:rPr>
          <w:rFonts w:ascii="Cambria" w:eastAsia="Cambria" w:hAnsi="Cambria" w:cs="Cambria"/>
          <w:sz w:val="24"/>
          <w:szCs w:val="24"/>
        </w:rPr>
        <w:t xml:space="preserve"> (O’Shea et al. 2019;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Kapuran</w:t>
      </w:r>
      <w:proofErr w:type="spellEnd"/>
      <w:r>
        <w:rPr>
          <w:rFonts w:ascii="Cambria" w:eastAsia="Cambria" w:hAnsi="Cambria" w:cs="Cambria"/>
          <w:sz w:val="24"/>
          <w:szCs w:val="24"/>
        </w:rPr>
        <w:t xml:space="preserve"> and Bulatović 2024;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et al. forthcoming). </w:t>
      </w:r>
    </w:p>
    <w:p w14:paraId="717F740F"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individuals were buried following the established funerary norms of the Maros culture. Their orientation adhered to a north-south axis, with bodies placed in a flexed position and facing east. Although this orientation was standard, five graves deviated from the norm, aligning toward the northeast or northwest, as well as the southeast or southwest, with more significant </w:t>
      </w:r>
      <w:proofErr w:type="gramStart"/>
      <w:r>
        <w:rPr>
          <w:rFonts w:ascii="Cambria" w:eastAsia="Cambria" w:hAnsi="Cambria" w:cs="Cambria"/>
          <w:sz w:val="24"/>
          <w:szCs w:val="24"/>
        </w:rPr>
        <w:t>variations oriented</w:t>
      </w:r>
      <w:proofErr w:type="gramEnd"/>
      <w:r>
        <w:rPr>
          <w:rFonts w:ascii="Cambria" w:eastAsia="Cambria" w:hAnsi="Cambria" w:cs="Cambria"/>
          <w:sz w:val="24"/>
          <w:szCs w:val="24"/>
        </w:rPr>
        <w:t xml:space="preserve"> east-west (</w:t>
      </w: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2008). For this research, we have </w:t>
      </w:r>
      <w:proofErr w:type="spellStart"/>
      <w:r>
        <w:rPr>
          <w:rFonts w:ascii="Cambria" w:eastAsia="Cambria" w:hAnsi="Cambria" w:cs="Cambria"/>
          <w:sz w:val="24"/>
          <w:szCs w:val="24"/>
        </w:rPr>
        <w:t>analysed</w:t>
      </w:r>
      <w:proofErr w:type="spellEnd"/>
      <w:r>
        <w:rPr>
          <w:rFonts w:ascii="Cambria" w:eastAsia="Cambria" w:hAnsi="Cambria" w:cs="Cambria"/>
          <w:sz w:val="24"/>
          <w:szCs w:val="24"/>
        </w:rPr>
        <w:t xml:space="preserve"> 44 burials for which we had the necessary data. Same as for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the classes of grave goods which were found in less than five graves were excluded from the analysis. As a consequence, graves without the selected classes of grave goods were excluded from this analysis.   </w:t>
      </w:r>
    </w:p>
    <w:p w14:paraId="419448FA" w14:textId="77777777" w:rsidR="00C15A74" w:rsidRDefault="00000000">
      <w:pPr>
        <w:spacing w:before="240" w:after="240"/>
        <w:jc w:val="both"/>
        <w:rPr>
          <w:rFonts w:ascii="Cambria" w:eastAsia="Cambria" w:hAnsi="Cambria" w:cs="Cambria"/>
          <w:i/>
          <w:sz w:val="24"/>
          <w:szCs w:val="24"/>
        </w:rPr>
      </w:pPr>
      <w:r>
        <w:rPr>
          <w:rFonts w:ascii="Cambria" w:eastAsia="Cambria" w:hAnsi="Cambria" w:cs="Cambria"/>
          <w:i/>
          <w:sz w:val="24"/>
          <w:szCs w:val="24"/>
        </w:rPr>
        <w:lastRenderedPageBreak/>
        <w:t>Sex and age</w:t>
      </w:r>
    </w:p>
    <w:p w14:paraId="70C07D74"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data for estimated biological sex based on the skeletal remains was taken from previously published studies (Stefanović 2008; Vučetić 2015;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2022). The biological sex was estimated using standard anthropological methods, with a few exceptions: for 13 samples, sex was determined by </w:t>
      </w:r>
      <w:proofErr w:type="spellStart"/>
      <w:r>
        <w:rPr>
          <w:rFonts w:ascii="Cambria" w:eastAsia="Cambria" w:hAnsi="Cambria" w:cs="Cambria"/>
          <w:sz w:val="24"/>
          <w:szCs w:val="24"/>
        </w:rPr>
        <w:t>aDNA</w:t>
      </w:r>
      <w:proofErr w:type="spellEnd"/>
      <w:r>
        <w:rPr>
          <w:rFonts w:ascii="Cambria" w:eastAsia="Cambria" w:hAnsi="Cambria" w:cs="Cambria"/>
          <w:sz w:val="24"/>
          <w:szCs w:val="24"/>
        </w:rPr>
        <w:t xml:space="preserve"> analysis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 and for 16 samples from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proteomic sex identification done with tooth enamel peptide analysis was available, with 11 of the samples having both tooth enamel peptide analysis and </w:t>
      </w:r>
      <w:proofErr w:type="spellStart"/>
      <w:r>
        <w:rPr>
          <w:rFonts w:ascii="Cambria" w:eastAsia="Cambria" w:hAnsi="Cambria" w:cs="Cambria"/>
          <w:sz w:val="24"/>
          <w:szCs w:val="24"/>
        </w:rPr>
        <w:t>aDNA</w:t>
      </w:r>
      <w:proofErr w:type="spellEnd"/>
      <w:r>
        <w:rPr>
          <w:rFonts w:ascii="Cambria" w:eastAsia="Cambria" w:hAnsi="Cambria" w:cs="Cambria"/>
          <w:sz w:val="24"/>
          <w:szCs w:val="24"/>
        </w:rPr>
        <w:t xml:space="preserve">. The enamel peptide analysis was done according to the protocol presented in the paper by K. </w:t>
      </w:r>
      <w:proofErr w:type="spellStart"/>
      <w:r>
        <w:rPr>
          <w:rFonts w:ascii="Cambria" w:eastAsia="Cambria" w:hAnsi="Cambria" w:cs="Cambria"/>
          <w:sz w:val="24"/>
          <w:szCs w:val="24"/>
        </w:rPr>
        <w:t>Rebay</w:t>
      </w:r>
      <w:proofErr w:type="spellEnd"/>
      <w:r>
        <w:rPr>
          <w:rFonts w:ascii="Cambria" w:eastAsia="Cambria" w:hAnsi="Cambria" w:cs="Cambria"/>
          <w:sz w:val="24"/>
          <w:szCs w:val="24"/>
        </w:rPr>
        <w:t>-Salisbury et al. (2020). The results for 13 out of those 16 samples will be published shortly (</w:t>
      </w:r>
      <w:proofErr w:type="spellStart"/>
      <w:r>
        <w:rPr>
          <w:rFonts w:ascii="Cambria" w:eastAsia="Cambria" w:hAnsi="Cambria" w:cs="Cambria"/>
          <w:sz w:val="24"/>
          <w:szCs w:val="24"/>
        </w:rPr>
        <w:t>Amzirkov</w:t>
      </w:r>
      <w:proofErr w:type="spellEnd"/>
      <w:r>
        <w:rPr>
          <w:rFonts w:ascii="Cambria" w:eastAsia="Cambria" w:hAnsi="Cambria" w:cs="Cambria"/>
          <w:sz w:val="24"/>
          <w:szCs w:val="24"/>
        </w:rPr>
        <w:t xml:space="preserve"> et al. forthcoming), while for three individuals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79, 88 and 122W). We have chosen the adult individuals with available teeth (79 and 88) presented in M. </w:t>
      </w:r>
      <w:proofErr w:type="spellStart"/>
      <w:r>
        <w:rPr>
          <w:rFonts w:ascii="Cambria" w:eastAsia="Cambria" w:hAnsi="Cambria" w:cs="Cambria"/>
          <w:sz w:val="24"/>
          <w:szCs w:val="24"/>
        </w:rPr>
        <w:t>Porčić's</w:t>
      </w:r>
      <w:proofErr w:type="spellEnd"/>
      <w:r>
        <w:rPr>
          <w:rFonts w:ascii="Cambria" w:eastAsia="Cambria" w:hAnsi="Cambria" w:cs="Cambria"/>
          <w:sz w:val="24"/>
          <w:szCs w:val="24"/>
        </w:rPr>
        <w:t xml:space="preserve"> paper as having been buried in the “opposite” orientation (2010) and the individual 122W from the group grave as the </w:t>
      </w:r>
      <w:proofErr w:type="spellStart"/>
      <w:r>
        <w:rPr>
          <w:rFonts w:ascii="Cambria" w:eastAsia="Cambria" w:hAnsi="Cambria" w:cs="Cambria"/>
          <w:sz w:val="24"/>
          <w:szCs w:val="24"/>
        </w:rPr>
        <w:t>aDNA</w:t>
      </w:r>
      <w:proofErr w:type="spellEnd"/>
      <w:r>
        <w:rPr>
          <w:rFonts w:ascii="Cambria" w:eastAsia="Cambria" w:hAnsi="Cambria" w:cs="Cambria"/>
          <w:sz w:val="24"/>
          <w:szCs w:val="24"/>
        </w:rPr>
        <w:t xml:space="preserve"> sample was not possible to obtain. </w:t>
      </w:r>
    </w:p>
    <w:p w14:paraId="2399B4CB"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Data on age-at-death were taken from previously published studies as well (Stefanović 2008; Vučetić 2015;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2022). The degree of morphological changes on the pubic symphyses was assessed following the method of Todd (1920), and the auricular surface of the ilium in accordance with the criteria established by Lovejoy et al. (1985). Additionally, the attrition of the occlusal surfaces of the maxillary and mandibular dentition as described by Lovejoy (1985) was evaluated. It should be noted that, due to the poor preservation of skeletal elements resulting from adverse </w:t>
      </w:r>
      <w:proofErr w:type="spellStart"/>
      <w:r>
        <w:rPr>
          <w:rFonts w:ascii="Cambria" w:eastAsia="Cambria" w:hAnsi="Cambria" w:cs="Cambria"/>
          <w:sz w:val="24"/>
          <w:szCs w:val="24"/>
        </w:rPr>
        <w:t>taphonomic</w:t>
      </w:r>
      <w:proofErr w:type="spellEnd"/>
      <w:r>
        <w:rPr>
          <w:rFonts w:ascii="Cambria" w:eastAsia="Cambria" w:hAnsi="Cambria" w:cs="Cambria"/>
          <w:sz w:val="24"/>
          <w:szCs w:val="24"/>
        </w:rPr>
        <w:t xml:space="preserve"> conditions, it was not possible to score and </w:t>
      </w:r>
      <w:proofErr w:type="spellStart"/>
      <w:r>
        <w:rPr>
          <w:rFonts w:ascii="Cambria" w:eastAsia="Cambria" w:hAnsi="Cambria" w:cs="Cambria"/>
          <w:sz w:val="24"/>
          <w:szCs w:val="24"/>
        </w:rPr>
        <w:t>analyse</w:t>
      </w:r>
      <w:proofErr w:type="spellEnd"/>
      <w:r>
        <w:rPr>
          <w:rFonts w:ascii="Cambria" w:eastAsia="Cambria" w:hAnsi="Cambria" w:cs="Cambria"/>
          <w:sz w:val="24"/>
          <w:szCs w:val="24"/>
        </w:rPr>
        <w:t xml:space="preserve"> all indicators uniformly. Consequently, the resulting age-at-death estimates exhibit wider ranges.</w:t>
      </w:r>
    </w:p>
    <w:p w14:paraId="5AB987B7" w14:textId="77777777" w:rsidR="00C15A74" w:rsidRDefault="00000000">
      <w:pPr>
        <w:spacing w:before="240" w:after="240"/>
        <w:jc w:val="both"/>
        <w:rPr>
          <w:rFonts w:ascii="Cambria" w:eastAsia="Cambria" w:hAnsi="Cambria" w:cs="Cambria"/>
          <w:i/>
          <w:sz w:val="24"/>
          <w:szCs w:val="24"/>
        </w:rPr>
      </w:pPr>
      <w:r>
        <w:rPr>
          <w:rFonts w:ascii="Cambria" w:eastAsia="Cambria" w:hAnsi="Cambria" w:cs="Cambria"/>
          <w:i/>
          <w:sz w:val="24"/>
          <w:szCs w:val="24"/>
        </w:rPr>
        <w:t>Funerary ritual</w:t>
      </w:r>
    </w:p>
    <w:p w14:paraId="1A986B9F"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Elements of funerary practice observed in this study are grave depth, width, length, orientation, and grave goods. In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the grave pits were most commonly rectangular with rounded corners, with their longer sides oriented north-south or south-north, following the orientation of the body. The transition from the sides to the bottom of the pit was gently rounded and arched, while the bottom was flat. Less commonly, pits were square, circular, or elliptical. The dimensions of the pits varied depending on the size of the individual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Data on grave depth for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sample is obtained from the published monograph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and represents the depth of the bottom of the burial pit. Data on the body orientation of the individuals buried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is obtained from the same monograph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and excavation documentation.</w:t>
      </w:r>
    </w:p>
    <w:p w14:paraId="64657B11" w14:textId="77777777" w:rsidR="00C15A74" w:rsidRDefault="00000000">
      <w:pPr>
        <w:spacing w:before="240" w:after="240"/>
        <w:jc w:val="both"/>
      </w:pPr>
      <w:r>
        <w:rPr>
          <w:rFonts w:ascii="Cambria" w:eastAsia="Cambria" w:hAnsi="Cambria" w:cs="Cambria"/>
          <w:sz w:val="24"/>
          <w:szCs w:val="24"/>
        </w:rPr>
        <w:t xml:space="preserve">Same as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at the Ostojićevo necropolis, the graves are most commonly rectangular with rounded corners, while ellipsoid and square shapes are less frequent. Their orientation </w:t>
      </w:r>
      <w:r>
        <w:rPr>
          <w:rFonts w:ascii="Cambria" w:eastAsia="Cambria" w:hAnsi="Cambria" w:cs="Cambria"/>
          <w:sz w:val="24"/>
          <w:szCs w:val="24"/>
        </w:rPr>
        <w:lastRenderedPageBreak/>
        <w:t xml:space="preserve">depends on the sex of the deceased, with the shorter sides facing north-south or vice versa. As with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sample, the depth measurements used for Ostojićevo reflect the bottom of the burial pit. In some cases, remnants of organic material were observed at the bottom, possibly traces of leather that lined the bottom of the grave or covered the deceased (</w:t>
      </w: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2008). For the Ostojićevo sample, information on grave depth and orientation is drawn from the unpublished Master’s thesis of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(2008) and excavation documentation.</w:t>
      </w:r>
      <w:r>
        <w:t xml:space="preserve"> </w:t>
      </w:r>
    </w:p>
    <w:p w14:paraId="242F1FE2" w14:textId="77777777" w:rsidR="00C15A74" w:rsidRDefault="00000000">
      <w:pPr>
        <w:spacing w:before="240" w:after="240"/>
        <w:jc w:val="both"/>
        <w:rPr>
          <w:rFonts w:ascii="Cambria" w:eastAsia="Cambria" w:hAnsi="Cambria" w:cs="Cambria"/>
          <w:i/>
          <w:sz w:val="24"/>
          <w:szCs w:val="24"/>
        </w:rPr>
      </w:pPr>
      <w:r>
        <w:rPr>
          <w:rFonts w:ascii="Cambria" w:eastAsia="Cambria" w:hAnsi="Cambria" w:cs="Cambria"/>
          <w:i/>
          <w:sz w:val="24"/>
          <w:szCs w:val="24"/>
        </w:rPr>
        <w:t>Grave goods</w:t>
      </w:r>
    </w:p>
    <w:p w14:paraId="3EE6D960"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Grave goods from the necropolises of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may be broadly </w:t>
      </w:r>
      <w:proofErr w:type="spellStart"/>
      <w:r>
        <w:rPr>
          <w:rFonts w:ascii="Cambria" w:eastAsia="Cambria" w:hAnsi="Cambria" w:cs="Cambria"/>
          <w:sz w:val="24"/>
          <w:szCs w:val="24"/>
        </w:rPr>
        <w:t>categorised</w:t>
      </w:r>
      <w:proofErr w:type="spellEnd"/>
      <w:r>
        <w:rPr>
          <w:rFonts w:ascii="Cambria" w:eastAsia="Cambria" w:hAnsi="Cambria" w:cs="Cambria"/>
          <w:sz w:val="24"/>
          <w:szCs w:val="24"/>
        </w:rPr>
        <w:t xml:space="preserve"> into items of </w:t>
      </w:r>
      <w:proofErr w:type="spellStart"/>
      <w:r>
        <w:rPr>
          <w:rFonts w:ascii="Cambria" w:eastAsia="Cambria" w:hAnsi="Cambria" w:cs="Cambria"/>
          <w:sz w:val="24"/>
          <w:szCs w:val="24"/>
        </w:rPr>
        <w:t>jewellery</w:t>
      </w:r>
      <w:proofErr w:type="spellEnd"/>
      <w:r>
        <w:rPr>
          <w:rFonts w:ascii="Cambria" w:eastAsia="Cambria" w:hAnsi="Cambria" w:cs="Cambria"/>
          <w:sz w:val="24"/>
          <w:szCs w:val="24"/>
        </w:rPr>
        <w:t xml:space="preserve"> worn on clothing, the body, and the head, tools and weapons, ceramic vessels, and unprocessed animal bones, which likely entered the graves as food offerings (Blagojević 2020; </w:t>
      </w: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2008;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 O’Shea 1996; </w:t>
      </w:r>
      <w:proofErr w:type="spellStart"/>
      <w:r>
        <w:rPr>
          <w:rFonts w:ascii="Cambria" w:eastAsia="Cambria" w:hAnsi="Cambria" w:cs="Cambria"/>
          <w:sz w:val="24"/>
          <w:szCs w:val="24"/>
        </w:rPr>
        <w:t>Стефановић</w:t>
      </w:r>
      <w:proofErr w:type="spellEnd"/>
      <w:r>
        <w:rPr>
          <w:rFonts w:ascii="Cambria" w:eastAsia="Cambria" w:hAnsi="Cambria" w:cs="Cambria"/>
          <w:sz w:val="24"/>
          <w:szCs w:val="24"/>
        </w:rPr>
        <w:t xml:space="preserve"> 2008).</w:t>
      </w:r>
    </w:p>
    <w:p w14:paraId="392DFB2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In his examination of social differentiation within the Maros culture population, John O’Shea </w:t>
      </w:r>
      <w:proofErr w:type="spellStart"/>
      <w:r>
        <w:rPr>
          <w:rFonts w:ascii="Cambria" w:eastAsia="Cambria" w:hAnsi="Cambria" w:cs="Cambria"/>
          <w:sz w:val="24"/>
          <w:szCs w:val="24"/>
        </w:rPr>
        <w:t>analysed</w:t>
      </w:r>
      <w:proofErr w:type="spellEnd"/>
      <w:r>
        <w:rPr>
          <w:rFonts w:ascii="Cambria" w:eastAsia="Cambria" w:hAnsi="Cambria" w:cs="Cambria"/>
          <w:sz w:val="24"/>
          <w:szCs w:val="24"/>
        </w:rPr>
        <w:t xml:space="preserve"> grave goods from several Maros necropolises -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Szőreg</w:t>
      </w:r>
      <w:proofErr w:type="spellEnd"/>
      <w:r>
        <w:rPr>
          <w:rFonts w:ascii="Cambria" w:eastAsia="Cambria" w:hAnsi="Cambria" w:cs="Cambria"/>
          <w:sz w:val="24"/>
          <w:szCs w:val="24"/>
        </w:rPr>
        <w:t xml:space="preserve">, Desk A, Desk F, </w:t>
      </w:r>
      <w:proofErr w:type="spellStart"/>
      <w:r>
        <w:rPr>
          <w:rFonts w:ascii="Cambria" w:eastAsia="Cambria" w:hAnsi="Cambria" w:cs="Cambria"/>
          <w:sz w:val="24"/>
          <w:szCs w:val="24"/>
        </w:rPr>
        <w:t>Óbéba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Szentiván</w:t>
      </w:r>
      <w:proofErr w:type="spellEnd"/>
      <w:r>
        <w:rPr>
          <w:rFonts w:ascii="Cambria" w:eastAsia="Cambria" w:hAnsi="Cambria" w:cs="Cambria"/>
          <w:sz w:val="24"/>
          <w:szCs w:val="24"/>
        </w:rPr>
        <w:t xml:space="preserve">, and </w:t>
      </w:r>
      <w:proofErr w:type="spellStart"/>
      <w:r>
        <w:rPr>
          <w:rFonts w:ascii="Cambria" w:eastAsia="Cambria" w:hAnsi="Cambria" w:cs="Cambria"/>
          <w:sz w:val="24"/>
          <w:szCs w:val="24"/>
        </w:rPr>
        <w:t>Pitvaros</w:t>
      </w:r>
      <w:proofErr w:type="spellEnd"/>
      <w:r>
        <w:rPr>
          <w:rFonts w:ascii="Cambria" w:eastAsia="Cambria" w:hAnsi="Cambria" w:cs="Cambria"/>
          <w:sz w:val="24"/>
          <w:szCs w:val="24"/>
        </w:rPr>
        <w:t xml:space="preserve"> - and concluded that certain categories of grave goods conveyed information about the social status of the deceased with whom they were interred. He examined the biological parameters of the individuals in whose graves the grave goods were found (sex and age) as well as the position of the objects in the grave, whether they were intentionally damaged when deposited, and whether they appeared in pairs or not (in the case of pins). Finally, he analyzed the spatial distribution of the graves in which the objects were found. He concluded that certain categories of grave goods - daggers, axes, beaded sashes adorned with animal canines, head ornaments, and bone needles - were used as markers of social status (O’Shea 1996).</w:t>
      </w:r>
    </w:p>
    <w:p w14:paraId="34093215"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material from the Ostojićevo necropolis was subsequently examined by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in her unpublished master’s thesis, in which she followed the interpretative framework established by O’Shea (</w:t>
      </w:r>
      <w:proofErr w:type="spellStart"/>
      <w:proofErr w:type="gram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2008</w:t>
      </w:r>
      <w:proofErr w:type="gramEnd"/>
      <w:r>
        <w:rPr>
          <w:rFonts w:ascii="Cambria" w:eastAsia="Cambria" w:hAnsi="Cambria" w:cs="Cambria"/>
          <w:sz w:val="24"/>
          <w:szCs w:val="24"/>
        </w:rPr>
        <w:t>).</w:t>
      </w:r>
    </w:p>
    <w:p w14:paraId="5FD30F77" w14:textId="77777777" w:rsidR="00C15A74" w:rsidRDefault="00000000">
      <w:pPr>
        <w:spacing w:before="240" w:after="240"/>
        <w:rPr>
          <w:rFonts w:ascii="Cambria" w:eastAsia="Cambria" w:hAnsi="Cambria" w:cs="Cambria"/>
          <w:i/>
          <w:sz w:val="24"/>
          <w:szCs w:val="24"/>
        </w:rPr>
      </w:pPr>
      <w:r>
        <w:rPr>
          <w:rFonts w:ascii="Cambria" w:eastAsia="Cambria" w:hAnsi="Cambria" w:cs="Cambria"/>
          <w:i/>
          <w:sz w:val="24"/>
          <w:szCs w:val="24"/>
        </w:rPr>
        <w:t xml:space="preserve">Statistical analyses </w:t>
      </w:r>
    </w:p>
    <w:p w14:paraId="3F053F24"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To formally examine the role of material culture in shaping gender within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society, a </w:t>
      </w:r>
      <w:r>
        <w:rPr>
          <w:rFonts w:ascii="Cambria" w:eastAsia="Cambria" w:hAnsi="Cambria" w:cs="Cambria"/>
          <w:i/>
          <w:sz w:val="24"/>
          <w:szCs w:val="24"/>
        </w:rPr>
        <w:t>correspondence analysis</w:t>
      </w:r>
      <w:r>
        <w:rPr>
          <w:rFonts w:ascii="Cambria" w:eastAsia="Cambria" w:hAnsi="Cambria" w:cs="Cambria"/>
          <w:sz w:val="24"/>
          <w:szCs w:val="24"/>
        </w:rPr>
        <w:t xml:space="preserve"> (CA) is employed to visualize the relationship between classes of grave goods and sex. This multivariate statistical technique is applied to individual graves, recording the presence or absence of 12 categories of grave goods. These categories include weapons (axes or daggers), head ornaments, animal bones, bone needles, metal needles, gold artifacts, hair rings, pottery, single shells (distinct from shell beads used in necklaces and sashes), necklaces, bracelets, and sashes.</w:t>
      </w:r>
      <w:r>
        <w:rPr>
          <w:rFonts w:ascii="Cambria" w:eastAsia="Cambria" w:hAnsi="Cambria" w:cs="Cambria"/>
          <w:i/>
          <w:sz w:val="24"/>
          <w:szCs w:val="24"/>
        </w:rPr>
        <w:t xml:space="preserve"> </w:t>
      </w:r>
      <w:r>
        <w:rPr>
          <w:rFonts w:ascii="Cambria" w:eastAsia="Cambria" w:hAnsi="Cambria" w:cs="Cambria"/>
          <w:sz w:val="24"/>
          <w:szCs w:val="24"/>
        </w:rPr>
        <w:t xml:space="preserve">Individuals without any grave goods or with grave goods belonging to classes which have low frequencies were not included in the analysis. </w:t>
      </w:r>
      <w:r>
        <w:rPr>
          <w:rFonts w:ascii="Cambria" w:eastAsia="Cambria" w:hAnsi="Cambria" w:cs="Cambria"/>
          <w:sz w:val="24"/>
          <w:szCs w:val="24"/>
        </w:rPr>
        <w:lastRenderedPageBreak/>
        <w:t xml:space="preserve">The sample size for the analysis of grave goods 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is 136 individuals (73 females and 63 males); in Ostojićevo, the sample size for the analysis of grave goods is 38 individuals (19 males and 19 females). CA is implemented in R, using the </w:t>
      </w:r>
      <w:proofErr w:type="spellStart"/>
      <w:r>
        <w:rPr>
          <w:rFonts w:ascii="Cambria" w:eastAsia="Cambria" w:hAnsi="Cambria" w:cs="Cambria"/>
          <w:sz w:val="24"/>
          <w:szCs w:val="24"/>
        </w:rPr>
        <w:t>FactoMineR</w:t>
      </w:r>
      <w:proofErr w:type="spellEnd"/>
      <w:r>
        <w:rPr>
          <w:rFonts w:ascii="Cambria" w:eastAsia="Cambria" w:hAnsi="Cambria" w:cs="Cambria"/>
          <w:sz w:val="24"/>
          <w:szCs w:val="24"/>
        </w:rPr>
        <w:t xml:space="preserve"> package (Le, Josse and Husson 2008).</w:t>
      </w:r>
    </w:p>
    <w:p w14:paraId="47542C08"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i/>
          <w:sz w:val="24"/>
          <w:szCs w:val="24"/>
        </w:rPr>
        <w:t>Fisher’s exact test</w:t>
      </w:r>
      <w:r>
        <w:rPr>
          <w:rFonts w:ascii="Cambria" w:eastAsia="Cambria" w:hAnsi="Cambria" w:cs="Cambria"/>
          <w:sz w:val="24"/>
          <w:szCs w:val="24"/>
        </w:rPr>
        <w:t xml:space="preserve"> is used to test the statistical significance of associations between individual classes of grave goods and sex. </w:t>
      </w:r>
      <w:r>
        <w:rPr>
          <w:rFonts w:ascii="Cambria" w:eastAsia="Cambria" w:hAnsi="Cambria" w:cs="Cambria"/>
          <w:i/>
          <w:sz w:val="24"/>
          <w:szCs w:val="24"/>
        </w:rPr>
        <w:t>Cramer’s V</w:t>
      </w:r>
      <w:r>
        <w:rPr>
          <w:rFonts w:ascii="Cambria" w:eastAsia="Cambria" w:hAnsi="Cambria" w:cs="Cambria"/>
          <w:sz w:val="24"/>
          <w:szCs w:val="24"/>
        </w:rPr>
        <w:t xml:space="preserve"> is calculated as a measure of effect size for the associations. This analysis was performed in IBM SPSS 23. </w:t>
      </w:r>
    </w:p>
    <w:p w14:paraId="032A1497"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To examine sex differences in features of burial pits and body placement, we analyze the association between body orientation and sex using a chi-square test. Additionally, we conduct three t-tests, with sex as the grouping variable and burial pit dimensions (depth, width, and length) as the dependent variables. All adult individuals with information on sex and the aforementioned variables are included in this analysis. Chi-squared and t-tests were implemented in IBM SPSS 23. </w:t>
      </w:r>
    </w:p>
    <w:p w14:paraId="006484A1" w14:textId="77777777" w:rsidR="00C15A74" w:rsidRDefault="00000000">
      <w:pPr>
        <w:spacing w:before="240" w:after="240"/>
        <w:jc w:val="both"/>
      </w:pPr>
      <w:r>
        <w:rPr>
          <w:rFonts w:ascii="Cambria" w:eastAsia="Cambria" w:hAnsi="Cambria" w:cs="Cambria"/>
          <w:sz w:val="24"/>
          <w:szCs w:val="24"/>
        </w:rPr>
        <w:t>In order to get an intuition about how well we can predict individual sex based on the grave goods, we performed the random forest regression (</w:t>
      </w:r>
      <w:proofErr w:type="spellStart"/>
      <w:r>
        <w:rPr>
          <w:rFonts w:ascii="Cambria" w:eastAsia="Cambria" w:hAnsi="Cambria" w:cs="Cambria"/>
          <w:sz w:val="24"/>
          <w:szCs w:val="24"/>
        </w:rPr>
        <w:t>Breiman</w:t>
      </w:r>
      <w:proofErr w:type="spellEnd"/>
      <w:r>
        <w:rPr>
          <w:rFonts w:ascii="Cambria" w:eastAsia="Cambria" w:hAnsi="Cambria" w:cs="Cambria"/>
          <w:sz w:val="24"/>
          <w:szCs w:val="24"/>
        </w:rPr>
        <w:t xml:space="preserve"> 2001) with sex as the outcome variable, and grave good classes as predictors. R package </w:t>
      </w:r>
      <w:proofErr w:type="spellStart"/>
      <w:r>
        <w:rPr>
          <w:rFonts w:ascii="Cambria" w:eastAsia="Cambria" w:hAnsi="Cambria" w:cs="Cambria"/>
          <w:sz w:val="24"/>
          <w:szCs w:val="24"/>
        </w:rPr>
        <w:t>randomForest</w:t>
      </w:r>
      <w:proofErr w:type="spellEnd"/>
      <w:r>
        <w:rPr>
          <w:rFonts w:ascii="Cambria" w:eastAsia="Cambria" w:hAnsi="Cambria" w:cs="Cambria"/>
          <w:sz w:val="24"/>
          <w:szCs w:val="24"/>
        </w:rPr>
        <w:t xml:space="preserve"> (Liaw and Weiner 2002) was used for this analysis.</w:t>
      </w:r>
    </w:p>
    <w:p w14:paraId="2B40C891" w14:textId="77777777" w:rsidR="00C15A74" w:rsidRDefault="00000000">
      <w:pPr>
        <w:spacing w:before="240" w:after="240"/>
        <w:rPr>
          <w:rFonts w:ascii="Cambria" w:eastAsia="Cambria" w:hAnsi="Cambria" w:cs="Cambria"/>
          <w:b/>
          <w:sz w:val="24"/>
          <w:szCs w:val="24"/>
        </w:rPr>
      </w:pPr>
      <w:r>
        <w:rPr>
          <w:rFonts w:ascii="Cambria" w:eastAsia="Cambria" w:hAnsi="Cambria" w:cs="Cambria"/>
          <w:b/>
          <w:sz w:val="24"/>
          <w:szCs w:val="24"/>
        </w:rPr>
        <w:t>Results</w:t>
      </w:r>
    </w:p>
    <w:p w14:paraId="6F5B365D"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In this section we will present the results of all the aforementioned statistical analyses, organized separately for the two sites,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Additionally, we report for the first time the outcomes of newly obtained proteomic sex identification using tooth enamel peptide analyses for three individuals buried at </w:t>
      </w:r>
      <w:proofErr w:type="spellStart"/>
      <w:r>
        <w:rPr>
          <w:rFonts w:ascii="Cambria" w:eastAsia="Cambria" w:hAnsi="Cambria" w:cs="Cambria"/>
          <w:sz w:val="24"/>
          <w:szCs w:val="24"/>
        </w:rPr>
        <w:t>Mokrin</w:t>
      </w:r>
      <w:proofErr w:type="spellEnd"/>
      <w:r>
        <w:rPr>
          <w:rFonts w:ascii="Cambria" w:eastAsia="Cambria" w:hAnsi="Cambria" w:cs="Cambria"/>
          <w:sz w:val="24"/>
          <w:szCs w:val="24"/>
        </w:rPr>
        <w:t>.</w:t>
      </w:r>
    </w:p>
    <w:p w14:paraId="1941799C" w14:textId="77777777" w:rsidR="00C15A74" w:rsidRDefault="00000000">
      <w:pPr>
        <w:spacing w:before="240" w:after="240"/>
        <w:rPr>
          <w:rFonts w:ascii="Cambria" w:eastAsia="Cambria" w:hAnsi="Cambria" w:cs="Cambria"/>
          <w:sz w:val="24"/>
          <w:szCs w:val="24"/>
        </w:rPr>
      </w:pPr>
      <w:proofErr w:type="spellStart"/>
      <w:r>
        <w:rPr>
          <w:rFonts w:ascii="Cambria" w:eastAsia="Cambria" w:hAnsi="Cambria" w:cs="Cambria"/>
          <w:i/>
          <w:sz w:val="24"/>
          <w:szCs w:val="24"/>
        </w:rPr>
        <w:t>Mokrin</w:t>
      </w:r>
      <w:proofErr w:type="spellEnd"/>
    </w:p>
    <w:p w14:paraId="7FE317D4" w14:textId="77777777" w:rsidR="00C15A74" w:rsidRDefault="00000000">
      <w:pPr>
        <w:spacing w:before="240" w:after="240"/>
        <w:rPr>
          <w:rFonts w:ascii="Cambria" w:eastAsia="Cambria" w:hAnsi="Cambria" w:cs="Cambria"/>
          <w:i/>
          <w:sz w:val="24"/>
          <w:szCs w:val="24"/>
        </w:rPr>
      </w:pPr>
      <w:r>
        <w:rPr>
          <w:rFonts w:ascii="Cambria" w:eastAsia="Cambria" w:hAnsi="Cambria" w:cs="Cambria"/>
          <w:i/>
          <w:sz w:val="24"/>
          <w:szCs w:val="24"/>
        </w:rPr>
        <w:t>Proteomic sex identification using enamel peptide analysis</w:t>
      </w:r>
    </w:p>
    <w:p w14:paraId="46162F21"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Teeth peptide analysis was conducted on 3 adult individuals, from graves 79, 88, and 122W. The results (see Table 1) have shown that for two individuals from grave No. 79 and 88, the genetic sex matched with their orientation, i.e., the estimated osteological sex was wrong. The adult individual 122W from the group grave 122, which was estimated to be female and buried in female orientation, the results show that it was a genetic male buried in the orientation for females. </w:t>
      </w:r>
    </w:p>
    <w:p w14:paraId="5C1ADC6E" w14:textId="77777777" w:rsidR="00C15A74" w:rsidRDefault="00C15A74">
      <w:pPr>
        <w:spacing w:before="240" w:after="240"/>
        <w:jc w:val="both"/>
        <w:rPr>
          <w:rFonts w:ascii="Cambria" w:eastAsia="Cambria" w:hAnsi="Cambria" w:cs="Cambria"/>
          <w:sz w:val="24"/>
          <w:szCs w:val="24"/>
        </w:rPr>
      </w:pPr>
    </w:p>
    <w:tbl>
      <w:tblPr>
        <w:tblStyle w:val="a"/>
        <w:tblW w:w="70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470"/>
        <w:gridCol w:w="1725"/>
        <w:gridCol w:w="2505"/>
      </w:tblGrid>
      <w:tr w:rsidR="00C15A74" w14:paraId="192F9244" w14:textId="77777777">
        <w:tc>
          <w:tcPr>
            <w:tcW w:w="1320" w:type="dxa"/>
            <w:shd w:val="clear" w:color="auto" w:fill="auto"/>
            <w:tcMar>
              <w:top w:w="100" w:type="dxa"/>
              <w:left w:w="100" w:type="dxa"/>
              <w:bottom w:w="100" w:type="dxa"/>
              <w:right w:w="100" w:type="dxa"/>
            </w:tcMar>
          </w:tcPr>
          <w:p w14:paraId="0D8740D4"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 xml:space="preserve">Grave No. </w:t>
            </w:r>
          </w:p>
        </w:tc>
        <w:tc>
          <w:tcPr>
            <w:tcW w:w="1470" w:type="dxa"/>
            <w:shd w:val="clear" w:color="auto" w:fill="auto"/>
            <w:tcMar>
              <w:top w:w="100" w:type="dxa"/>
              <w:left w:w="100" w:type="dxa"/>
              <w:bottom w:w="100" w:type="dxa"/>
              <w:right w:w="100" w:type="dxa"/>
            </w:tcMar>
          </w:tcPr>
          <w:p w14:paraId="18CEC8D4"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Orientation</w:t>
            </w:r>
          </w:p>
        </w:tc>
        <w:tc>
          <w:tcPr>
            <w:tcW w:w="1725" w:type="dxa"/>
            <w:shd w:val="clear" w:color="auto" w:fill="auto"/>
            <w:tcMar>
              <w:top w:w="100" w:type="dxa"/>
              <w:left w:w="100" w:type="dxa"/>
              <w:bottom w:w="100" w:type="dxa"/>
              <w:right w:w="100" w:type="dxa"/>
            </w:tcMar>
          </w:tcPr>
          <w:p w14:paraId="4FFB2F40"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Macroscopical</w:t>
            </w:r>
            <w:r>
              <w:rPr>
                <w:rFonts w:ascii="Cambria" w:eastAsia="Cambria" w:hAnsi="Cambria" w:cs="Cambria"/>
                <w:sz w:val="24"/>
                <w:szCs w:val="24"/>
              </w:rPr>
              <w:lastRenderedPageBreak/>
              <w:t xml:space="preserve">ly </w:t>
            </w:r>
            <w:proofErr w:type="spellStart"/>
            <w:r>
              <w:rPr>
                <w:rFonts w:ascii="Cambria" w:eastAsia="Cambria" w:hAnsi="Cambria" w:cs="Cambria"/>
                <w:sz w:val="24"/>
                <w:szCs w:val="24"/>
              </w:rPr>
              <w:t>estimatedsex</w:t>
            </w:r>
            <w:proofErr w:type="spellEnd"/>
          </w:p>
        </w:tc>
        <w:tc>
          <w:tcPr>
            <w:tcW w:w="2505" w:type="dxa"/>
            <w:shd w:val="clear" w:color="auto" w:fill="auto"/>
            <w:tcMar>
              <w:top w:w="100" w:type="dxa"/>
              <w:left w:w="100" w:type="dxa"/>
              <w:bottom w:w="100" w:type="dxa"/>
              <w:right w:w="100" w:type="dxa"/>
            </w:tcMar>
          </w:tcPr>
          <w:p w14:paraId="725099F7"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 xml:space="preserve">Proteomic sex </w:t>
            </w:r>
            <w:r>
              <w:rPr>
                <w:rFonts w:ascii="Cambria" w:eastAsia="Cambria" w:hAnsi="Cambria" w:cs="Cambria"/>
                <w:sz w:val="24"/>
                <w:szCs w:val="24"/>
              </w:rPr>
              <w:lastRenderedPageBreak/>
              <w:t>identification</w:t>
            </w:r>
          </w:p>
        </w:tc>
      </w:tr>
      <w:tr w:rsidR="00C15A74" w14:paraId="25E27A55" w14:textId="77777777">
        <w:tc>
          <w:tcPr>
            <w:tcW w:w="1320" w:type="dxa"/>
            <w:shd w:val="clear" w:color="auto" w:fill="auto"/>
            <w:tcMar>
              <w:top w:w="100" w:type="dxa"/>
              <w:left w:w="100" w:type="dxa"/>
              <w:bottom w:w="100" w:type="dxa"/>
              <w:right w:w="100" w:type="dxa"/>
            </w:tcMar>
          </w:tcPr>
          <w:p w14:paraId="510B0628"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79</w:t>
            </w:r>
          </w:p>
        </w:tc>
        <w:tc>
          <w:tcPr>
            <w:tcW w:w="1470" w:type="dxa"/>
            <w:shd w:val="clear" w:color="auto" w:fill="auto"/>
            <w:tcMar>
              <w:top w:w="100" w:type="dxa"/>
              <w:left w:w="100" w:type="dxa"/>
              <w:bottom w:w="100" w:type="dxa"/>
              <w:right w:w="100" w:type="dxa"/>
            </w:tcMar>
          </w:tcPr>
          <w:p w14:paraId="2EF80300"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S-N</w:t>
            </w:r>
          </w:p>
        </w:tc>
        <w:tc>
          <w:tcPr>
            <w:tcW w:w="1725" w:type="dxa"/>
            <w:shd w:val="clear" w:color="auto" w:fill="auto"/>
            <w:tcMar>
              <w:top w:w="100" w:type="dxa"/>
              <w:left w:w="100" w:type="dxa"/>
              <w:bottom w:w="100" w:type="dxa"/>
              <w:right w:w="100" w:type="dxa"/>
            </w:tcMar>
          </w:tcPr>
          <w:p w14:paraId="7B97E200"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M</w:t>
            </w:r>
          </w:p>
        </w:tc>
        <w:tc>
          <w:tcPr>
            <w:tcW w:w="2505" w:type="dxa"/>
            <w:shd w:val="clear" w:color="auto" w:fill="auto"/>
            <w:tcMar>
              <w:top w:w="100" w:type="dxa"/>
              <w:left w:w="100" w:type="dxa"/>
              <w:bottom w:w="100" w:type="dxa"/>
              <w:right w:w="100" w:type="dxa"/>
            </w:tcMar>
          </w:tcPr>
          <w:p w14:paraId="0CC61363"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F</w:t>
            </w:r>
          </w:p>
        </w:tc>
      </w:tr>
      <w:tr w:rsidR="00C15A74" w14:paraId="1B5FF329" w14:textId="77777777">
        <w:tc>
          <w:tcPr>
            <w:tcW w:w="1320" w:type="dxa"/>
            <w:shd w:val="clear" w:color="auto" w:fill="auto"/>
            <w:tcMar>
              <w:top w:w="100" w:type="dxa"/>
              <w:left w:w="100" w:type="dxa"/>
              <w:bottom w:w="100" w:type="dxa"/>
              <w:right w:w="100" w:type="dxa"/>
            </w:tcMar>
          </w:tcPr>
          <w:p w14:paraId="7C7BDFA6"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88</w:t>
            </w:r>
          </w:p>
        </w:tc>
        <w:tc>
          <w:tcPr>
            <w:tcW w:w="1470" w:type="dxa"/>
            <w:shd w:val="clear" w:color="auto" w:fill="auto"/>
            <w:tcMar>
              <w:top w:w="100" w:type="dxa"/>
              <w:left w:w="100" w:type="dxa"/>
              <w:bottom w:w="100" w:type="dxa"/>
              <w:right w:w="100" w:type="dxa"/>
            </w:tcMar>
          </w:tcPr>
          <w:p w14:paraId="373FDC2A"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N-S</w:t>
            </w:r>
          </w:p>
        </w:tc>
        <w:tc>
          <w:tcPr>
            <w:tcW w:w="1725" w:type="dxa"/>
            <w:shd w:val="clear" w:color="auto" w:fill="auto"/>
            <w:tcMar>
              <w:top w:w="100" w:type="dxa"/>
              <w:left w:w="100" w:type="dxa"/>
              <w:bottom w:w="100" w:type="dxa"/>
              <w:right w:w="100" w:type="dxa"/>
            </w:tcMar>
          </w:tcPr>
          <w:p w14:paraId="27EE10A6"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F</w:t>
            </w:r>
          </w:p>
        </w:tc>
        <w:tc>
          <w:tcPr>
            <w:tcW w:w="2505" w:type="dxa"/>
            <w:shd w:val="clear" w:color="auto" w:fill="auto"/>
            <w:tcMar>
              <w:top w:w="100" w:type="dxa"/>
              <w:left w:w="100" w:type="dxa"/>
              <w:bottom w:w="100" w:type="dxa"/>
              <w:right w:w="100" w:type="dxa"/>
            </w:tcMar>
          </w:tcPr>
          <w:p w14:paraId="73017E87"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M</w:t>
            </w:r>
          </w:p>
        </w:tc>
      </w:tr>
      <w:tr w:rsidR="00C15A74" w14:paraId="69811549" w14:textId="77777777">
        <w:tc>
          <w:tcPr>
            <w:tcW w:w="1320" w:type="dxa"/>
            <w:shd w:val="clear" w:color="auto" w:fill="auto"/>
            <w:tcMar>
              <w:top w:w="100" w:type="dxa"/>
              <w:left w:w="100" w:type="dxa"/>
              <w:bottom w:w="100" w:type="dxa"/>
              <w:right w:w="100" w:type="dxa"/>
            </w:tcMar>
          </w:tcPr>
          <w:p w14:paraId="4B0037F2"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122/W</w:t>
            </w:r>
          </w:p>
        </w:tc>
        <w:tc>
          <w:tcPr>
            <w:tcW w:w="1470" w:type="dxa"/>
            <w:shd w:val="clear" w:color="auto" w:fill="auto"/>
            <w:tcMar>
              <w:top w:w="100" w:type="dxa"/>
              <w:left w:w="100" w:type="dxa"/>
              <w:bottom w:w="100" w:type="dxa"/>
              <w:right w:w="100" w:type="dxa"/>
            </w:tcMar>
          </w:tcPr>
          <w:p w14:paraId="626F26C3"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S-N</w:t>
            </w:r>
          </w:p>
        </w:tc>
        <w:tc>
          <w:tcPr>
            <w:tcW w:w="1725" w:type="dxa"/>
            <w:shd w:val="clear" w:color="auto" w:fill="auto"/>
            <w:tcMar>
              <w:top w:w="100" w:type="dxa"/>
              <w:left w:w="100" w:type="dxa"/>
              <w:bottom w:w="100" w:type="dxa"/>
              <w:right w:w="100" w:type="dxa"/>
            </w:tcMar>
          </w:tcPr>
          <w:p w14:paraId="5D2EFD9A"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F</w:t>
            </w:r>
          </w:p>
        </w:tc>
        <w:tc>
          <w:tcPr>
            <w:tcW w:w="2505" w:type="dxa"/>
            <w:shd w:val="clear" w:color="auto" w:fill="auto"/>
            <w:tcMar>
              <w:top w:w="100" w:type="dxa"/>
              <w:left w:w="100" w:type="dxa"/>
              <w:bottom w:w="100" w:type="dxa"/>
              <w:right w:w="100" w:type="dxa"/>
            </w:tcMar>
          </w:tcPr>
          <w:p w14:paraId="6EC3D2F6" w14:textId="77777777" w:rsidR="00C15A74"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M</w:t>
            </w:r>
          </w:p>
        </w:tc>
      </w:tr>
    </w:tbl>
    <w:p w14:paraId="181A7D58" w14:textId="77777777" w:rsidR="00C15A74" w:rsidRDefault="00000000">
      <w:pPr>
        <w:spacing w:before="240" w:after="240"/>
        <w:rPr>
          <w:rFonts w:ascii="Cambria" w:eastAsia="Cambria" w:hAnsi="Cambria" w:cs="Cambria"/>
          <w:sz w:val="20"/>
          <w:szCs w:val="20"/>
        </w:rPr>
      </w:pPr>
      <w:r>
        <w:rPr>
          <w:rFonts w:ascii="Cambria" w:eastAsia="Cambria" w:hAnsi="Cambria" w:cs="Cambria"/>
          <w:sz w:val="20"/>
          <w:szCs w:val="20"/>
        </w:rPr>
        <w:t>Table 1. The results of the proteomic sex identification using tooth enamel peptide analysis</w:t>
      </w:r>
    </w:p>
    <w:p w14:paraId="4B475B0E"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results of the correspondence analysis of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data are shown in Figure 3. CA axes 1 and 2 together account for 31% of inertia (CA axis 1, 16.2%; CA axis 2, 14.8%). The graph clearly shows that males and females cluster around gender specific classes of grave goods (see Table 2 for the classes of grave goods used): weapons are characteristic for males, whereas females usually have some kind of jewelry, such as bone needles, metal needles, necklaces, etc. It is interesting that CA axis 1 mostly separates graves with animal bones from graves where animal bones are absent, whereas gender differences are more pronounced on CA axis 2. </w:t>
      </w:r>
    </w:p>
    <w:p w14:paraId="0B7D09DF" w14:textId="77777777" w:rsidR="00C15A74" w:rsidRDefault="00000000">
      <w:pPr>
        <w:spacing w:before="240" w:after="240"/>
      </w:pPr>
      <w:r>
        <w:rPr>
          <w:noProof/>
        </w:rPr>
        <w:drawing>
          <wp:inline distT="114300" distB="114300" distL="114300" distR="114300" wp14:anchorId="09C80386" wp14:editId="593BDE8E">
            <wp:extent cx="5943600" cy="4432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4432300"/>
                    </a:xfrm>
                    <a:prstGeom prst="rect">
                      <a:avLst/>
                    </a:prstGeom>
                    <a:ln/>
                  </pic:spPr>
                </pic:pic>
              </a:graphicData>
            </a:graphic>
          </wp:inline>
        </w:drawing>
      </w:r>
    </w:p>
    <w:p w14:paraId="56F0650F" w14:textId="77777777" w:rsidR="00C15A74" w:rsidRDefault="00000000">
      <w:pPr>
        <w:spacing w:before="240" w:after="240"/>
        <w:rPr>
          <w:rFonts w:ascii="Cambria" w:eastAsia="Cambria" w:hAnsi="Cambria" w:cs="Cambria"/>
          <w:sz w:val="20"/>
          <w:szCs w:val="20"/>
        </w:rPr>
      </w:pPr>
      <w:r>
        <w:rPr>
          <w:rFonts w:ascii="Cambria" w:eastAsia="Cambria" w:hAnsi="Cambria" w:cs="Cambria"/>
          <w:sz w:val="20"/>
          <w:szCs w:val="20"/>
        </w:rPr>
        <w:lastRenderedPageBreak/>
        <w:t xml:space="preserve">Figure 3. Results of the correspondence analysis (CA) in </w:t>
      </w:r>
      <w:proofErr w:type="spellStart"/>
      <w:r>
        <w:rPr>
          <w:rFonts w:ascii="Cambria" w:eastAsia="Cambria" w:hAnsi="Cambria" w:cs="Cambria"/>
          <w:sz w:val="20"/>
          <w:szCs w:val="20"/>
        </w:rPr>
        <w:t>Mokrin</w:t>
      </w:r>
      <w:proofErr w:type="spellEnd"/>
      <w:r>
        <w:rPr>
          <w:rFonts w:ascii="Cambria" w:eastAsia="Cambria" w:hAnsi="Cambria" w:cs="Cambria"/>
          <w:sz w:val="20"/>
          <w:szCs w:val="20"/>
        </w:rPr>
        <w:t>. Number of individuals in the analysis = 136.</w:t>
      </w:r>
    </w:p>
    <w:p w14:paraId="5F61E15D"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When animal bones are excluded from the analysis and CA is performed on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data (N of individuals = 133), then the main axis of variation (CA axis 1), which accounts for 17.9% of inertia, reflects mostly the difference between sexes in the composition of grave goods (Figure 4). So, in both versions of the CA analysis we can see a tendency for males and females to cluster around what seem to be gender specific classes of grave goods, but it should be emphasized that this is only a statistical tendency - the overlap between males and females in the CA space is considerable and suggests that grave goods alone are a poor predictor of individual’s sex. </w:t>
      </w:r>
    </w:p>
    <w:p w14:paraId="490FA2B9" w14:textId="77777777" w:rsidR="00C15A74" w:rsidRDefault="00000000">
      <w:pPr>
        <w:spacing w:before="240" w:after="240"/>
      </w:pPr>
      <w:r>
        <w:rPr>
          <w:noProof/>
        </w:rPr>
        <w:drawing>
          <wp:inline distT="114300" distB="114300" distL="114300" distR="114300" wp14:anchorId="68D5D43C" wp14:editId="6E3BFC27">
            <wp:extent cx="5943600" cy="45593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43600" cy="4559300"/>
                    </a:xfrm>
                    <a:prstGeom prst="rect">
                      <a:avLst/>
                    </a:prstGeom>
                    <a:ln/>
                  </pic:spPr>
                </pic:pic>
              </a:graphicData>
            </a:graphic>
          </wp:inline>
        </w:drawing>
      </w:r>
    </w:p>
    <w:p w14:paraId="77E2694C" w14:textId="77777777" w:rsidR="00C15A74" w:rsidRDefault="00000000">
      <w:pPr>
        <w:spacing w:before="240" w:after="240"/>
        <w:jc w:val="both"/>
        <w:rPr>
          <w:rFonts w:ascii="Cambria" w:eastAsia="Cambria" w:hAnsi="Cambria" w:cs="Cambria"/>
          <w:sz w:val="20"/>
          <w:szCs w:val="20"/>
        </w:rPr>
      </w:pPr>
      <w:r>
        <w:rPr>
          <w:rFonts w:ascii="Cambria" w:eastAsia="Cambria" w:hAnsi="Cambria" w:cs="Cambria"/>
          <w:sz w:val="20"/>
          <w:szCs w:val="20"/>
        </w:rPr>
        <w:t xml:space="preserve">Figure 4. Results of the correspondence analysis (CA) in </w:t>
      </w:r>
      <w:proofErr w:type="spellStart"/>
      <w:r>
        <w:rPr>
          <w:rFonts w:ascii="Cambria" w:eastAsia="Cambria" w:hAnsi="Cambria" w:cs="Cambria"/>
          <w:sz w:val="20"/>
          <w:szCs w:val="20"/>
        </w:rPr>
        <w:t>Mokrin</w:t>
      </w:r>
      <w:proofErr w:type="spellEnd"/>
      <w:r>
        <w:rPr>
          <w:rFonts w:ascii="Cambria" w:eastAsia="Cambria" w:hAnsi="Cambria" w:cs="Cambria"/>
          <w:sz w:val="20"/>
          <w:szCs w:val="20"/>
        </w:rPr>
        <w:t xml:space="preserve"> with animal bones excluded from the analysis.  Number of individuals in the analysis = 133.</w:t>
      </w:r>
    </w:p>
    <w:p w14:paraId="43EE7D7F" w14:textId="77777777" w:rsidR="00C15A74" w:rsidRDefault="00000000">
      <w:pPr>
        <w:spacing w:before="240" w:after="240"/>
        <w:jc w:val="both"/>
      </w:pPr>
      <w:r>
        <w:rPr>
          <w:rFonts w:ascii="Cambria" w:eastAsia="Cambria" w:hAnsi="Cambria" w:cs="Cambria"/>
          <w:sz w:val="24"/>
          <w:szCs w:val="24"/>
        </w:rPr>
        <w:t xml:space="preserve">The association between sex and grave good class presence is statistically significant for six grave good categories (Table 2). According to the results of these tests, weapons are more likely to be found in male graves, whereas bone needles, metal needles, necklaces, sashes, and bracelets are more likely to be found in female graves (see contingency tables in </w:t>
      </w:r>
      <w:r>
        <w:rPr>
          <w:rFonts w:ascii="Cambria" w:eastAsia="Cambria" w:hAnsi="Cambria" w:cs="Cambria"/>
          <w:sz w:val="24"/>
          <w:szCs w:val="24"/>
        </w:rPr>
        <w:lastRenderedPageBreak/>
        <w:t xml:space="preserve">Supplementary material S1). However, the effect size of these significant associations, as measured by Cramer’s V, is weak to </w:t>
      </w:r>
      <w:proofErr w:type="gramStart"/>
      <w:r>
        <w:rPr>
          <w:rFonts w:ascii="Cambria" w:eastAsia="Cambria" w:hAnsi="Cambria" w:cs="Cambria"/>
          <w:sz w:val="24"/>
          <w:szCs w:val="24"/>
        </w:rPr>
        <w:t>moderate  (</w:t>
      </w:r>
      <w:proofErr w:type="gramEnd"/>
      <w:r>
        <w:rPr>
          <w:rFonts w:ascii="Cambria" w:eastAsia="Cambria" w:hAnsi="Cambria" w:cs="Cambria"/>
          <w:sz w:val="24"/>
          <w:szCs w:val="24"/>
        </w:rPr>
        <w:t>Table 2), confirming the visual impression from Figures 3 and 4 based on the CA analysis that these associations are far from deterministic.</w:t>
      </w:r>
    </w:p>
    <w:tbl>
      <w:tblPr>
        <w:tblStyle w:val="a0"/>
        <w:tblW w:w="78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40"/>
        <w:gridCol w:w="2610"/>
        <w:gridCol w:w="2550"/>
      </w:tblGrid>
      <w:tr w:rsidR="00C15A74" w14:paraId="283EA7CB" w14:textId="77777777">
        <w:trPr>
          <w:trHeight w:val="285"/>
        </w:trPr>
        <w:tc>
          <w:tcPr>
            <w:tcW w:w="26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F5158C4" w14:textId="77777777" w:rsidR="00C15A74" w:rsidRDefault="00000000">
            <w:pPr>
              <w:spacing w:before="240"/>
              <w:rPr>
                <w:rFonts w:ascii="Cambria" w:eastAsia="Cambria" w:hAnsi="Cambria" w:cs="Cambria"/>
                <w:i/>
              </w:rPr>
            </w:pPr>
            <w:r>
              <w:rPr>
                <w:rFonts w:ascii="Cambria" w:eastAsia="Cambria" w:hAnsi="Cambria" w:cs="Cambria"/>
              </w:rPr>
              <w:t xml:space="preserve"> </w:t>
            </w:r>
            <w:proofErr w:type="spellStart"/>
            <w:r>
              <w:rPr>
                <w:rFonts w:ascii="Cambria" w:eastAsia="Cambria" w:hAnsi="Cambria" w:cs="Cambria"/>
                <w:i/>
              </w:rPr>
              <w:t>Mokrin</w:t>
            </w:r>
            <w:proofErr w:type="spellEnd"/>
            <w:r>
              <w:rPr>
                <w:rFonts w:ascii="Cambria" w:eastAsia="Cambria" w:hAnsi="Cambria" w:cs="Cambria"/>
                <w:i/>
              </w:rPr>
              <w:t xml:space="preserve"> </w:t>
            </w:r>
          </w:p>
        </w:tc>
        <w:tc>
          <w:tcPr>
            <w:tcW w:w="26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EC712B2" w14:textId="77777777" w:rsidR="00C15A74" w:rsidRDefault="00000000">
            <w:pPr>
              <w:spacing w:before="240"/>
              <w:rPr>
                <w:rFonts w:ascii="Cambria" w:eastAsia="Cambria" w:hAnsi="Cambria" w:cs="Cambria"/>
                <w:i/>
              </w:rPr>
            </w:pPr>
            <w:r>
              <w:rPr>
                <w:rFonts w:ascii="Cambria" w:eastAsia="Cambria" w:hAnsi="Cambria" w:cs="Cambria"/>
                <w:i/>
              </w:rPr>
              <w:t>Cramer's V</w:t>
            </w:r>
          </w:p>
        </w:tc>
        <w:tc>
          <w:tcPr>
            <w:tcW w:w="25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25190C" w14:textId="77777777" w:rsidR="00C15A74" w:rsidRDefault="00000000">
            <w:pPr>
              <w:spacing w:before="240"/>
              <w:rPr>
                <w:rFonts w:ascii="Cambria" w:eastAsia="Cambria" w:hAnsi="Cambria" w:cs="Cambria"/>
                <w:i/>
              </w:rPr>
            </w:pPr>
            <w:r>
              <w:rPr>
                <w:rFonts w:ascii="Cambria" w:eastAsia="Cambria" w:hAnsi="Cambria" w:cs="Cambria"/>
                <w:i/>
              </w:rPr>
              <w:t>Fisher's exact p-value</w:t>
            </w:r>
          </w:p>
        </w:tc>
      </w:tr>
      <w:tr w:rsidR="00C15A74" w14:paraId="4C02C3C4"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B7E6B3" w14:textId="77777777" w:rsidR="00C15A74" w:rsidRDefault="00000000">
            <w:pPr>
              <w:spacing w:before="240"/>
              <w:rPr>
                <w:rFonts w:ascii="Cambria" w:eastAsia="Cambria" w:hAnsi="Cambria" w:cs="Cambria"/>
                <w:b/>
              </w:rPr>
            </w:pPr>
            <w:r>
              <w:rPr>
                <w:rFonts w:ascii="Cambria" w:eastAsia="Cambria" w:hAnsi="Cambria" w:cs="Cambria"/>
                <w:b/>
              </w:rPr>
              <w:t>Weapons</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581A0D3C" w14:textId="77777777" w:rsidR="00C15A74" w:rsidRDefault="00000000">
            <w:pPr>
              <w:spacing w:before="240"/>
              <w:rPr>
                <w:rFonts w:ascii="Cambria" w:eastAsia="Cambria" w:hAnsi="Cambria" w:cs="Cambria"/>
              </w:rPr>
            </w:pPr>
            <w:r>
              <w:rPr>
                <w:rFonts w:ascii="Cambria" w:eastAsia="Cambria" w:hAnsi="Cambria" w:cs="Cambria"/>
              </w:rPr>
              <w:t>0.3</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7A7A9714" w14:textId="77777777" w:rsidR="00C15A74" w:rsidRDefault="00000000">
            <w:pPr>
              <w:spacing w:before="240"/>
              <w:rPr>
                <w:rFonts w:ascii="Cambria" w:eastAsia="Cambria" w:hAnsi="Cambria" w:cs="Cambria"/>
              </w:rPr>
            </w:pPr>
            <w:r>
              <w:rPr>
                <w:rFonts w:ascii="Cambria" w:eastAsia="Cambria" w:hAnsi="Cambria" w:cs="Cambria"/>
              </w:rPr>
              <w:t>0.0004</w:t>
            </w:r>
          </w:p>
        </w:tc>
      </w:tr>
      <w:tr w:rsidR="00C15A74" w14:paraId="473009F0"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1D0674" w14:textId="77777777" w:rsidR="00C15A74" w:rsidRDefault="00000000">
            <w:pPr>
              <w:spacing w:before="240"/>
              <w:rPr>
                <w:rFonts w:ascii="Cambria" w:eastAsia="Cambria" w:hAnsi="Cambria" w:cs="Cambria"/>
              </w:rPr>
            </w:pPr>
            <w:r>
              <w:rPr>
                <w:rFonts w:ascii="Cambria" w:eastAsia="Cambria" w:hAnsi="Cambria" w:cs="Cambria"/>
              </w:rPr>
              <w:t>Head ornament</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718D5838" w14:textId="77777777" w:rsidR="00C15A74" w:rsidRDefault="00000000">
            <w:pPr>
              <w:spacing w:before="240"/>
              <w:rPr>
                <w:rFonts w:ascii="Cambria" w:eastAsia="Cambria" w:hAnsi="Cambria" w:cs="Cambria"/>
              </w:rPr>
            </w:pPr>
            <w:r>
              <w:rPr>
                <w:rFonts w:ascii="Cambria" w:eastAsia="Cambria" w:hAnsi="Cambria" w:cs="Cambria"/>
              </w:rPr>
              <w:t>0.141</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567E5281" w14:textId="77777777" w:rsidR="00C15A74" w:rsidRDefault="00000000">
            <w:pPr>
              <w:spacing w:before="240"/>
              <w:rPr>
                <w:rFonts w:ascii="Cambria" w:eastAsia="Cambria" w:hAnsi="Cambria" w:cs="Cambria"/>
              </w:rPr>
            </w:pPr>
            <w:r>
              <w:rPr>
                <w:rFonts w:ascii="Cambria" w:eastAsia="Cambria" w:hAnsi="Cambria" w:cs="Cambria"/>
              </w:rPr>
              <w:t>0.071</w:t>
            </w:r>
          </w:p>
        </w:tc>
      </w:tr>
      <w:tr w:rsidR="00C15A74" w14:paraId="50904485"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FA0552" w14:textId="77777777" w:rsidR="00C15A74" w:rsidRDefault="00000000">
            <w:pPr>
              <w:spacing w:before="240"/>
              <w:rPr>
                <w:rFonts w:ascii="Cambria" w:eastAsia="Cambria" w:hAnsi="Cambria" w:cs="Cambria"/>
              </w:rPr>
            </w:pPr>
            <w:r>
              <w:rPr>
                <w:rFonts w:ascii="Cambria" w:eastAsia="Cambria" w:hAnsi="Cambria" w:cs="Cambria"/>
              </w:rPr>
              <w:t>Animal bones</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4AAAD90E" w14:textId="77777777" w:rsidR="00C15A74" w:rsidRDefault="00000000">
            <w:pPr>
              <w:spacing w:before="240"/>
              <w:rPr>
                <w:rFonts w:ascii="Cambria" w:eastAsia="Cambria" w:hAnsi="Cambria" w:cs="Cambria"/>
              </w:rPr>
            </w:pPr>
            <w:r>
              <w:rPr>
                <w:rFonts w:ascii="Cambria" w:eastAsia="Cambria" w:hAnsi="Cambria" w:cs="Cambria"/>
              </w:rPr>
              <w:t>0.015</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1755C5C1" w14:textId="77777777" w:rsidR="00C15A74" w:rsidRDefault="00000000">
            <w:pPr>
              <w:spacing w:before="240"/>
              <w:rPr>
                <w:rFonts w:ascii="Cambria" w:eastAsia="Cambria" w:hAnsi="Cambria" w:cs="Cambria"/>
              </w:rPr>
            </w:pPr>
            <w:r>
              <w:rPr>
                <w:rFonts w:ascii="Cambria" w:eastAsia="Cambria" w:hAnsi="Cambria" w:cs="Cambria"/>
              </w:rPr>
              <w:t>0.534</w:t>
            </w:r>
          </w:p>
        </w:tc>
      </w:tr>
      <w:tr w:rsidR="00C15A74" w14:paraId="53188321"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A18020" w14:textId="77777777" w:rsidR="00C15A74" w:rsidRDefault="00000000">
            <w:pPr>
              <w:spacing w:before="240"/>
              <w:rPr>
                <w:rFonts w:ascii="Cambria" w:eastAsia="Cambria" w:hAnsi="Cambria" w:cs="Cambria"/>
                <w:b/>
              </w:rPr>
            </w:pPr>
            <w:r>
              <w:rPr>
                <w:rFonts w:ascii="Cambria" w:eastAsia="Cambria" w:hAnsi="Cambria" w:cs="Cambria"/>
                <w:b/>
              </w:rPr>
              <w:t>Bone needle</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53BD3559" w14:textId="77777777" w:rsidR="00C15A74" w:rsidRDefault="00000000">
            <w:pPr>
              <w:spacing w:before="240"/>
              <w:rPr>
                <w:rFonts w:ascii="Cambria" w:eastAsia="Cambria" w:hAnsi="Cambria" w:cs="Cambria"/>
              </w:rPr>
            </w:pPr>
            <w:r>
              <w:rPr>
                <w:rFonts w:ascii="Cambria" w:eastAsia="Cambria" w:hAnsi="Cambria" w:cs="Cambria"/>
              </w:rPr>
              <w:t>0.289</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1CB47C7D" w14:textId="77777777" w:rsidR="00C15A74" w:rsidRDefault="00000000">
            <w:pPr>
              <w:spacing w:before="240"/>
              <w:rPr>
                <w:rFonts w:ascii="Cambria" w:eastAsia="Cambria" w:hAnsi="Cambria" w:cs="Cambria"/>
              </w:rPr>
            </w:pPr>
            <w:r>
              <w:rPr>
                <w:rFonts w:ascii="Cambria" w:eastAsia="Cambria" w:hAnsi="Cambria" w:cs="Cambria"/>
              </w:rPr>
              <w:t>0.0004</w:t>
            </w:r>
          </w:p>
        </w:tc>
      </w:tr>
      <w:tr w:rsidR="00C15A74" w14:paraId="3FC1617C"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6B59E9" w14:textId="77777777" w:rsidR="00C15A74" w:rsidRDefault="00000000">
            <w:pPr>
              <w:spacing w:before="240"/>
              <w:rPr>
                <w:rFonts w:ascii="Cambria" w:eastAsia="Cambria" w:hAnsi="Cambria" w:cs="Cambria"/>
                <w:b/>
              </w:rPr>
            </w:pPr>
            <w:r>
              <w:rPr>
                <w:rFonts w:ascii="Cambria" w:eastAsia="Cambria" w:hAnsi="Cambria" w:cs="Cambria"/>
                <w:b/>
              </w:rPr>
              <w:t>Metal needle</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27652014" w14:textId="77777777" w:rsidR="00C15A74" w:rsidRDefault="00000000">
            <w:pPr>
              <w:spacing w:before="240"/>
              <w:rPr>
                <w:rFonts w:ascii="Cambria" w:eastAsia="Cambria" w:hAnsi="Cambria" w:cs="Cambria"/>
              </w:rPr>
            </w:pPr>
            <w:r>
              <w:rPr>
                <w:rFonts w:ascii="Cambria" w:eastAsia="Cambria" w:hAnsi="Cambria" w:cs="Cambria"/>
              </w:rPr>
              <w:t>0.302</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6D8C7069" w14:textId="77777777" w:rsidR="00C15A74" w:rsidRDefault="00000000">
            <w:pPr>
              <w:spacing w:before="240"/>
              <w:rPr>
                <w:rFonts w:ascii="Cambria" w:eastAsia="Cambria" w:hAnsi="Cambria" w:cs="Cambria"/>
              </w:rPr>
            </w:pPr>
            <w:r>
              <w:rPr>
                <w:rFonts w:ascii="Cambria" w:eastAsia="Cambria" w:hAnsi="Cambria" w:cs="Cambria"/>
              </w:rPr>
              <w:t>0.0002</w:t>
            </w:r>
          </w:p>
        </w:tc>
      </w:tr>
      <w:tr w:rsidR="00C15A74" w14:paraId="54F9F600"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596E7" w14:textId="77777777" w:rsidR="00C15A74" w:rsidRDefault="00000000">
            <w:pPr>
              <w:spacing w:before="240"/>
              <w:rPr>
                <w:rFonts w:ascii="Cambria" w:eastAsia="Cambria" w:hAnsi="Cambria" w:cs="Cambria"/>
              </w:rPr>
            </w:pPr>
            <w:r>
              <w:rPr>
                <w:rFonts w:ascii="Cambria" w:eastAsia="Cambria" w:hAnsi="Cambria" w:cs="Cambria"/>
              </w:rPr>
              <w:t>Gold</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4F3B1959" w14:textId="77777777" w:rsidR="00C15A74" w:rsidRDefault="00000000">
            <w:pPr>
              <w:spacing w:before="240"/>
              <w:rPr>
                <w:rFonts w:ascii="Cambria" w:eastAsia="Cambria" w:hAnsi="Cambria" w:cs="Cambria"/>
              </w:rPr>
            </w:pPr>
            <w:r>
              <w:rPr>
                <w:rFonts w:ascii="Cambria" w:eastAsia="Cambria" w:hAnsi="Cambria" w:cs="Cambria"/>
              </w:rPr>
              <w:t>0.15</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294847DF" w14:textId="77777777" w:rsidR="00C15A74" w:rsidRDefault="00000000">
            <w:pPr>
              <w:spacing w:before="240"/>
              <w:rPr>
                <w:rFonts w:ascii="Cambria" w:eastAsia="Cambria" w:hAnsi="Cambria" w:cs="Cambria"/>
              </w:rPr>
            </w:pPr>
            <w:r>
              <w:rPr>
                <w:rFonts w:ascii="Cambria" w:eastAsia="Cambria" w:hAnsi="Cambria" w:cs="Cambria"/>
              </w:rPr>
              <w:t>0.085</w:t>
            </w:r>
          </w:p>
        </w:tc>
      </w:tr>
      <w:tr w:rsidR="00C15A74" w14:paraId="0659B760"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5F3C7D" w14:textId="77777777" w:rsidR="00C15A74" w:rsidRDefault="00000000">
            <w:pPr>
              <w:spacing w:before="240"/>
              <w:rPr>
                <w:rFonts w:ascii="Cambria" w:eastAsia="Cambria" w:hAnsi="Cambria" w:cs="Cambria"/>
              </w:rPr>
            </w:pPr>
            <w:r>
              <w:rPr>
                <w:rFonts w:ascii="Cambria" w:eastAsia="Cambria" w:hAnsi="Cambria" w:cs="Cambria"/>
              </w:rPr>
              <w:t>Hair ring</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24A03CC3" w14:textId="77777777" w:rsidR="00C15A74" w:rsidRDefault="00000000">
            <w:pPr>
              <w:spacing w:before="240"/>
              <w:rPr>
                <w:rFonts w:ascii="Cambria" w:eastAsia="Cambria" w:hAnsi="Cambria" w:cs="Cambria"/>
              </w:rPr>
            </w:pPr>
            <w:r>
              <w:rPr>
                <w:rFonts w:ascii="Cambria" w:eastAsia="Cambria" w:hAnsi="Cambria" w:cs="Cambria"/>
              </w:rPr>
              <w:t>0.107</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3247C4E8" w14:textId="77777777" w:rsidR="00C15A74" w:rsidRDefault="00000000">
            <w:pPr>
              <w:spacing w:before="240"/>
              <w:rPr>
                <w:rFonts w:ascii="Cambria" w:eastAsia="Cambria" w:hAnsi="Cambria" w:cs="Cambria"/>
              </w:rPr>
            </w:pPr>
            <w:r>
              <w:rPr>
                <w:rFonts w:ascii="Cambria" w:eastAsia="Cambria" w:hAnsi="Cambria" w:cs="Cambria"/>
              </w:rPr>
              <w:t>0.191</w:t>
            </w:r>
          </w:p>
        </w:tc>
      </w:tr>
      <w:tr w:rsidR="00C15A74" w14:paraId="7046FC46"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DC8F1B" w14:textId="77777777" w:rsidR="00C15A74" w:rsidRDefault="00000000">
            <w:pPr>
              <w:spacing w:before="240"/>
              <w:rPr>
                <w:rFonts w:ascii="Cambria" w:eastAsia="Cambria" w:hAnsi="Cambria" w:cs="Cambria"/>
              </w:rPr>
            </w:pPr>
            <w:r>
              <w:rPr>
                <w:rFonts w:ascii="Cambria" w:eastAsia="Cambria" w:hAnsi="Cambria" w:cs="Cambria"/>
              </w:rPr>
              <w:t>Pottery</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3A6ABF3F" w14:textId="77777777" w:rsidR="00C15A74" w:rsidRDefault="00000000">
            <w:pPr>
              <w:spacing w:before="240"/>
              <w:rPr>
                <w:rFonts w:ascii="Cambria" w:eastAsia="Cambria" w:hAnsi="Cambria" w:cs="Cambria"/>
              </w:rPr>
            </w:pPr>
            <w:r>
              <w:rPr>
                <w:rFonts w:ascii="Cambria" w:eastAsia="Cambria" w:hAnsi="Cambria" w:cs="Cambria"/>
              </w:rPr>
              <w:t>0.001</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2C37B5D2" w14:textId="77777777" w:rsidR="00C15A74" w:rsidRDefault="00000000">
            <w:pPr>
              <w:spacing w:before="240"/>
              <w:rPr>
                <w:rFonts w:ascii="Cambria" w:eastAsia="Cambria" w:hAnsi="Cambria" w:cs="Cambria"/>
              </w:rPr>
            </w:pPr>
            <w:r>
              <w:rPr>
                <w:rFonts w:ascii="Cambria" w:eastAsia="Cambria" w:hAnsi="Cambria" w:cs="Cambria"/>
              </w:rPr>
              <w:t>0.612</w:t>
            </w:r>
          </w:p>
        </w:tc>
      </w:tr>
      <w:tr w:rsidR="00C15A74" w14:paraId="7855E5EE"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48F21A" w14:textId="77777777" w:rsidR="00C15A74" w:rsidRDefault="00000000">
            <w:pPr>
              <w:spacing w:before="240"/>
              <w:rPr>
                <w:rFonts w:ascii="Cambria" w:eastAsia="Cambria" w:hAnsi="Cambria" w:cs="Cambria"/>
              </w:rPr>
            </w:pPr>
            <w:r>
              <w:rPr>
                <w:rFonts w:ascii="Cambria" w:eastAsia="Cambria" w:hAnsi="Cambria" w:cs="Cambria"/>
              </w:rPr>
              <w:t>Single shells</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7F7CC634" w14:textId="77777777" w:rsidR="00C15A74" w:rsidRDefault="00000000">
            <w:pPr>
              <w:spacing w:before="240"/>
              <w:rPr>
                <w:rFonts w:ascii="Cambria" w:eastAsia="Cambria" w:hAnsi="Cambria" w:cs="Cambria"/>
              </w:rPr>
            </w:pPr>
            <w:r>
              <w:rPr>
                <w:rFonts w:ascii="Cambria" w:eastAsia="Cambria" w:hAnsi="Cambria" w:cs="Cambria"/>
              </w:rPr>
              <w:t>0.083</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70CCB558" w14:textId="77777777" w:rsidR="00C15A74" w:rsidRDefault="00000000">
            <w:pPr>
              <w:spacing w:before="240"/>
              <w:rPr>
                <w:rFonts w:ascii="Cambria" w:eastAsia="Cambria" w:hAnsi="Cambria" w:cs="Cambria"/>
              </w:rPr>
            </w:pPr>
            <w:r>
              <w:rPr>
                <w:rFonts w:ascii="Cambria" w:eastAsia="Cambria" w:hAnsi="Cambria" w:cs="Cambria"/>
              </w:rPr>
              <w:t>0.286</w:t>
            </w:r>
          </w:p>
        </w:tc>
      </w:tr>
      <w:tr w:rsidR="00C15A74" w14:paraId="5D5B705D"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62CA22" w14:textId="77777777" w:rsidR="00C15A74" w:rsidRDefault="00000000">
            <w:pPr>
              <w:spacing w:before="240"/>
              <w:rPr>
                <w:rFonts w:ascii="Cambria" w:eastAsia="Cambria" w:hAnsi="Cambria" w:cs="Cambria"/>
                <w:b/>
              </w:rPr>
            </w:pPr>
            <w:r>
              <w:rPr>
                <w:rFonts w:ascii="Cambria" w:eastAsia="Cambria" w:hAnsi="Cambria" w:cs="Cambria"/>
                <w:b/>
              </w:rPr>
              <w:t>Necklace</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72F138C4" w14:textId="77777777" w:rsidR="00C15A74" w:rsidRDefault="00000000">
            <w:pPr>
              <w:spacing w:before="240"/>
              <w:rPr>
                <w:rFonts w:ascii="Cambria" w:eastAsia="Cambria" w:hAnsi="Cambria" w:cs="Cambria"/>
              </w:rPr>
            </w:pPr>
            <w:r>
              <w:rPr>
                <w:rFonts w:ascii="Cambria" w:eastAsia="Cambria" w:hAnsi="Cambria" w:cs="Cambria"/>
              </w:rPr>
              <w:t>0.238</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2B1B9CCF" w14:textId="77777777" w:rsidR="00C15A74" w:rsidRDefault="00000000">
            <w:pPr>
              <w:spacing w:before="240"/>
              <w:rPr>
                <w:rFonts w:ascii="Cambria" w:eastAsia="Cambria" w:hAnsi="Cambria" w:cs="Cambria"/>
              </w:rPr>
            </w:pPr>
            <w:r>
              <w:rPr>
                <w:rFonts w:ascii="Cambria" w:eastAsia="Cambria" w:hAnsi="Cambria" w:cs="Cambria"/>
              </w:rPr>
              <w:t>0.004</w:t>
            </w:r>
          </w:p>
        </w:tc>
      </w:tr>
      <w:tr w:rsidR="00C15A74" w14:paraId="4B965880"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F27E59" w14:textId="77777777" w:rsidR="00C15A74" w:rsidRDefault="00000000">
            <w:pPr>
              <w:spacing w:before="240"/>
              <w:rPr>
                <w:rFonts w:ascii="Cambria" w:eastAsia="Cambria" w:hAnsi="Cambria" w:cs="Cambria"/>
                <w:b/>
              </w:rPr>
            </w:pPr>
            <w:r>
              <w:rPr>
                <w:rFonts w:ascii="Cambria" w:eastAsia="Cambria" w:hAnsi="Cambria" w:cs="Cambria"/>
                <w:b/>
              </w:rPr>
              <w:t>Sash</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4CE5D8A6" w14:textId="77777777" w:rsidR="00C15A74" w:rsidRDefault="00000000">
            <w:pPr>
              <w:spacing w:before="240"/>
              <w:rPr>
                <w:rFonts w:ascii="Cambria" w:eastAsia="Cambria" w:hAnsi="Cambria" w:cs="Cambria"/>
              </w:rPr>
            </w:pPr>
            <w:r>
              <w:rPr>
                <w:rFonts w:ascii="Cambria" w:eastAsia="Cambria" w:hAnsi="Cambria" w:cs="Cambria"/>
              </w:rPr>
              <w:t>0.232</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28B53A9D" w14:textId="77777777" w:rsidR="00C15A74" w:rsidRDefault="00000000">
            <w:pPr>
              <w:spacing w:before="240"/>
              <w:rPr>
                <w:rFonts w:ascii="Cambria" w:eastAsia="Cambria" w:hAnsi="Cambria" w:cs="Cambria"/>
              </w:rPr>
            </w:pPr>
            <w:r>
              <w:rPr>
                <w:rFonts w:ascii="Cambria" w:eastAsia="Cambria" w:hAnsi="Cambria" w:cs="Cambria"/>
              </w:rPr>
              <w:t>0.006</w:t>
            </w:r>
          </w:p>
        </w:tc>
      </w:tr>
      <w:tr w:rsidR="00C15A74" w14:paraId="0D3815B1"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CDFA91" w14:textId="77777777" w:rsidR="00C15A74" w:rsidRDefault="00000000">
            <w:pPr>
              <w:spacing w:before="240"/>
              <w:rPr>
                <w:rFonts w:ascii="Cambria" w:eastAsia="Cambria" w:hAnsi="Cambria" w:cs="Cambria"/>
                <w:b/>
              </w:rPr>
            </w:pPr>
            <w:r>
              <w:rPr>
                <w:rFonts w:ascii="Cambria" w:eastAsia="Cambria" w:hAnsi="Cambria" w:cs="Cambria"/>
                <w:b/>
              </w:rPr>
              <w:t>Bracelet</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3612853D" w14:textId="77777777" w:rsidR="00C15A74" w:rsidRDefault="00000000">
            <w:pPr>
              <w:spacing w:before="240"/>
              <w:rPr>
                <w:rFonts w:ascii="Cambria" w:eastAsia="Cambria" w:hAnsi="Cambria" w:cs="Cambria"/>
              </w:rPr>
            </w:pPr>
            <w:r>
              <w:rPr>
                <w:rFonts w:ascii="Cambria" w:eastAsia="Cambria" w:hAnsi="Cambria" w:cs="Cambria"/>
              </w:rPr>
              <w:t>0.189</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7F8E3299" w14:textId="77777777" w:rsidR="00C15A74" w:rsidRDefault="00000000">
            <w:pPr>
              <w:spacing w:before="240"/>
              <w:rPr>
                <w:rFonts w:ascii="Cambria" w:eastAsia="Cambria" w:hAnsi="Cambria" w:cs="Cambria"/>
              </w:rPr>
            </w:pPr>
            <w:r>
              <w:rPr>
                <w:rFonts w:ascii="Cambria" w:eastAsia="Cambria" w:hAnsi="Cambria" w:cs="Cambria"/>
              </w:rPr>
              <w:t>0.024</w:t>
            </w:r>
          </w:p>
        </w:tc>
      </w:tr>
    </w:tbl>
    <w:p w14:paraId="3BA4CF63" w14:textId="77777777" w:rsidR="00C15A74" w:rsidRDefault="00000000">
      <w:pPr>
        <w:spacing w:before="240" w:after="240"/>
        <w:rPr>
          <w:rFonts w:ascii="Cambria" w:eastAsia="Cambria" w:hAnsi="Cambria" w:cs="Cambria"/>
          <w:sz w:val="20"/>
          <w:szCs w:val="20"/>
        </w:rPr>
      </w:pPr>
      <w:r>
        <w:rPr>
          <w:rFonts w:ascii="Cambria" w:eastAsia="Cambria" w:hAnsi="Cambria" w:cs="Cambria"/>
          <w:sz w:val="20"/>
          <w:szCs w:val="20"/>
        </w:rPr>
        <w:t xml:space="preserve">Table 2. Summary of Cramer’s V coefficients and p values based on Fisher’s exact test for the association between each grave good class and sex in </w:t>
      </w:r>
      <w:proofErr w:type="spellStart"/>
      <w:r>
        <w:rPr>
          <w:rFonts w:ascii="Cambria" w:eastAsia="Cambria" w:hAnsi="Cambria" w:cs="Cambria"/>
          <w:sz w:val="20"/>
          <w:szCs w:val="20"/>
        </w:rPr>
        <w:t>Mokrin</w:t>
      </w:r>
      <w:proofErr w:type="spellEnd"/>
      <w:r>
        <w:rPr>
          <w:rFonts w:ascii="Cambria" w:eastAsia="Cambria" w:hAnsi="Cambria" w:cs="Cambria"/>
          <w:sz w:val="20"/>
          <w:szCs w:val="20"/>
        </w:rPr>
        <w:t>. Grave good classes for which Fisher’s test is significant at the 0.05 level are in boldface.</w:t>
      </w:r>
    </w:p>
    <w:p w14:paraId="3CB4E99F"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Random forest regression was performed in order to see how much the information about grave goods improves our ability to predict sex. The results suggest that the average accuracy of the random forest model in predicting sex is 67.65% (Table 3). Accuracy for females is 55% and accuracy for males is 82.5%, meaning that 82.5% of all males are correctly classified as males by the regression model, and 55% of females are correctly classified as females. </w:t>
      </w:r>
    </w:p>
    <w:p w14:paraId="03735EBE" w14:textId="77777777" w:rsidR="00C15A74" w:rsidRDefault="00C15A74">
      <w:pPr>
        <w:spacing w:before="240" w:after="240"/>
      </w:pPr>
    </w:p>
    <w:p w14:paraId="7C065AAA" w14:textId="77777777" w:rsidR="00C15A74" w:rsidRDefault="00C15A74">
      <w:pPr>
        <w:spacing w:before="240" w:after="240"/>
      </w:pPr>
    </w:p>
    <w:tbl>
      <w:tblPr>
        <w:tblStyle w:val="a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55"/>
      </w:tblGrid>
      <w:tr w:rsidR="00C15A74" w14:paraId="3D71464F" w14:textId="77777777">
        <w:trPr>
          <w:trHeight w:val="285"/>
        </w:trPr>
        <w:tc>
          <w:tcPr>
            <w:tcW w:w="29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AD11C14" w14:textId="77777777" w:rsidR="00C15A74" w:rsidRDefault="00000000">
            <w:pPr>
              <w:spacing w:before="240"/>
              <w:rPr>
                <w:rFonts w:ascii="Cambria" w:eastAsia="Cambria" w:hAnsi="Cambria" w:cs="Cambria"/>
              </w:rPr>
            </w:pPr>
            <w:r>
              <w:rPr>
                <w:rFonts w:ascii="Cambria" w:eastAsia="Cambria" w:hAnsi="Cambria" w:cs="Cambria"/>
              </w:rPr>
              <w:lastRenderedPageBreak/>
              <w:t xml:space="preserve"> </w:t>
            </w:r>
            <w:proofErr w:type="spellStart"/>
            <w:r>
              <w:rPr>
                <w:rFonts w:ascii="Cambria" w:eastAsia="Cambria" w:hAnsi="Cambria" w:cs="Cambria"/>
              </w:rPr>
              <w:t>Mokrin</w:t>
            </w:r>
            <w:proofErr w:type="spellEnd"/>
          </w:p>
        </w:tc>
        <w:tc>
          <w:tcPr>
            <w:tcW w:w="29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2EE987" w14:textId="77777777" w:rsidR="00C15A74" w:rsidRDefault="00000000">
            <w:pPr>
              <w:spacing w:before="240"/>
              <w:rPr>
                <w:rFonts w:ascii="Cambria" w:eastAsia="Cambria" w:hAnsi="Cambria" w:cs="Cambria"/>
              </w:rPr>
            </w:pPr>
            <w:r>
              <w:rPr>
                <w:rFonts w:ascii="Cambria" w:eastAsia="Cambria" w:hAnsi="Cambria" w:cs="Cambria"/>
              </w:rPr>
              <w:t>Predicted N of females</w:t>
            </w:r>
          </w:p>
        </w:tc>
        <w:tc>
          <w:tcPr>
            <w:tcW w:w="29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9C1DE13" w14:textId="77777777" w:rsidR="00C15A74" w:rsidRDefault="00000000">
            <w:pPr>
              <w:spacing w:before="240"/>
              <w:rPr>
                <w:rFonts w:ascii="Cambria" w:eastAsia="Cambria" w:hAnsi="Cambria" w:cs="Cambria"/>
              </w:rPr>
            </w:pPr>
            <w:r>
              <w:rPr>
                <w:rFonts w:ascii="Cambria" w:eastAsia="Cambria" w:hAnsi="Cambria" w:cs="Cambria"/>
              </w:rPr>
              <w:t>Predicted N of males</w:t>
            </w:r>
          </w:p>
        </w:tc>
      </w:tr>
      <w:tr w:rsidR="00C15A74" w14:paraId="4CC33F0B" w14:textId="77777777">
        <w:trPr>
          <w:trHeight w:val="285"/>
        </w:trPr>
        <w:tc>
          <w:tcPr>
            <w:tcW w:w="2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A32283" w14:textId="77777777" w:rsidR="00C15A74" w:rsidRDefault="00000000">
            <w:pPr>
              <w:spacing w:before="240"/>
              <w:rPr>
                <w:rFonts w:ascii="Cambria" w:eastAsia="Cambria" w:hAnsi="Cambria" w:cs="Cambria"/>
              </w:rPr>
            </w:pPr>
            <w:r>
              <w:rPr>
                <w:rFonts w:ascii="Cambria" w:eastAsia="Cambria" w:hAnsi="Cambria" w:cs="Cambria"/>
              </w:rPr>
              <w:t>Observed N of females</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366FBEF4" w14:textId="77777777" w:rsidR="00C15A74" w:rsidRDefault="00000000">
            <w:pPr>
              <w:spacing w:before="240"/>
              <w:rPr>
                <w:rFonts w:ascii="Cambria" w:eastAsia="Cambria" w:hAnsi="Cambria" w:cs="Cambria"/>
              </w:rPr>
            </w:pPr>
            <w:r>
              <w:rPr>
                <w:rFonts w:ascii="Cambria" w:eastAsia="Cambria" w:hAnsi="Cambria" w:cs="Cambria"/>
              </w:rPr>
              <w:t>40</w:t>
            </w:r>
          </w:p>
        </w:tc>
        <w:tc>
          <w:tcPr>
            <w:tcW w:w="2955" w:type="dxa"/>
            <w:tcBorders>
              <w:top w:val="nil"/>
              <w:left w:val="nil"/>
              <w:bottom w:val="single" w:sz="5" w:space="0" w:color="000000"/>
              <w:right w:val="single" w:sz="5" w:space="0" w:color="000000"/>
            </w:tcBorders>
            <w:tcMar>
              <w:top w:w="0" w:type="dxa"/>
              <w:left w:w="100" w:type="dxa"/>
              <w:bottom w:w="0" w:type="dxa"/>
              <w:right w:w="100" w:type="dxa"/>
            </w:tcMar>
          </w:tcPr>
          <w:p w14:paraId="77FD556D" w14:textId="77777777" w:rsidR="00C15A74" w:rsidRDefault="00000000">
            <w:pPr>
              <w:spacing w:before="240"/>
              <w:rPr>
                <w:rFonts w:ascii="Cambria" w:eastAsia="Cambria" w:hAnsi="Cambria" w:cs="Cambria"/>
              </w:rPr>
            </w:pPr>
            <w:r>
              <w:rPr>
                <w:rFonts w:ascii="Cambria" w:eastAsia="Cambria" w:hAnsi="Cambria" w:cs="Cambria"/>
              </w:rPr>
              <w:t>33</w:t>
            </w:r>
          </w:p>
        </w:tc>
      </w:tr>
      <w:tr w:rsidR="00C15A74" w14:paraId="2B4961DB" w14:textId="77777777">
        <w:trPr>
          <w:trHeight w:val="285"/>
        </w:trPr>
        <w:tc>
          <w:tcPr>
            <w:tcW w:w="2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5659FE" w14:textId="77777777" w:rsidR="00C15A74" w:rsidRDefault="00000000">
            <w:pPr>
              <w:spacing w:before="240"/>
              <w:rPr>
                <w:rFonts w:ascii="Cambria" w:eastAsia="Cambria" w:hAnsi="Cambria" w:cs="Cambria"/>
              </w:rPr>
            </w:pPr>
            <w:r>
              <w:rPr>
                <w:rFonts w:ascii="Cambria" w:eastAsia="Cambria" w:hAnsi="Cambria" w:cs="Cambria"/>
              </w:rPr>
              <w:t>Observed N of males</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00C74CAE" w14:textId="77777777" w:rsidR="00C15A74" w:rsidRDefault="00000000">
            <w:pPr>
              <w:spacing w:before="240"/>
              <w:rPr>
                <w:rFonts w:ascii="Cambria" w:eastAsia="Cambria" w:hAnsi="Cambria" w:cs="Cambria"/>
              </w:rPr>
            </w:pPr>
            <w:r>
              <w:rPr>
                <w:rFonts w:ascii="Cambria" w:eastAsia="Cambria" w:hAnsi="Cambria" w:cs="Cambria"/>
              </w:rPr>
              <w:t>11</w:t>
            </w:r>
          </w:p>
        </w:tc>
        <w:tc>
          <w:tcPr>
            <w:tcW w:w="2955" w:type="dxa"/>
            <w:tcBorders>
              <w:top w:val="nil"/>
              <w:left w:val="nil"/>
              <w:bottom w:val="single" w:sz="5" w:space="0" w:color="000000"/>
              <w:right w:val="single" w:sz="5" w:space="0" w:color="000000"/>
            </w:tcBorders>
            <w:tcMar>
              <w:top w:w="0" w:type="dxa"/>
              <w:left w:w="100" w:type="dxa"/>
              <w:bottom w:w="0" w:type="dxa"/>
              <w:right w:w="100" w:type="dxa"/>
            </w:tcMar>
          </w:tcPr>
          <w:p w14:paraId="78D555CC" w14:textId="77777777" w:rsidR="00C15A74" w:rsidRDefault="00000000">
            <w:pPr>
              <w:spacing w:before="240"/>
              <w:rPr>
                <w:rFonts w:ascii="Cambria" w:eastAsia="Cambria" w:hAnsi="Cambria" w:cs="Cambria"/>
              </w:rPr>
            </w:pPr>
            <w:r>
              <w:rPr>
                <w:rFonts w:ascii="Cambria" w:eastAsia="Cambria" w:hAnsi="Cambria" w:cs="Cambria"/>
              </w:rPr>
              <w:t>52</w:t>
            </w:r>
          </w:p>
        </w:tc>
      </w:tr>
    </w:tbl>
    <w:p w14:paraId="393BDF68" w14:textId="77777777" w:rsidR="00C15A74" w:rsidRDefault="00000000">
      <w:pPr>
        <w:spacing w:before="240" w:after="240"/>
      </w:pPr>
      <w:r>
        <w:rPr>
          <w:rFonts w:ascii="Cambria" w:eastAsia="Cambria" w:hAnsi="Cambria" w:cs="Cambria"/>
          <w:sz w:val="20"/>
          <w:szCs w:val="20"/>
        </w:rPr>
        <w:t xml:space="preserve">Table 3. Observed and predicted sex membership in </w:t>
      </w:r>
      <w:proofErr w:type="spellStart"/>
      <w:r>
        <w:rPr>
          <w:rFonts w:ascii="Cambria" w:eastAsia="Cambria" w:hAnsi="Cambria" w:cs="Cambria"/>
          <w:sz w:val="20"/>
          <w:szCs w:val="20"/>
        </w:rPr>
        <w:t>Mokrin</w:t>
      </w:r>
      <w:proofErr w:type="spellEnd"/>
      <w:r>
        <w:rPr>
          <w:rFonts w:ascii="Cambria" w:eastAsia="Cambria" w:hAnsi="Cambria" w:cs="Cambria"/>
          <w:sz w:val="20"/>
          <w:szCs w:val="20"/>
        </w:rPr>
        <w:t xml:space="preserve"> based on the random forest regression with sex as the outcome, and grave good class presence as predictor variables.</w:t>
      </w:r>
      <w:r>
        <w:t xml:space="preserve"> </w:t>
      </w:r>
    </w:p>
    <w:p w14:paraId="48F6723F"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most important grave good classes for making the predictions based on the random forest regression models are bone needles, sashes, metal needles, and weapons (Figure 5). All in all, this is not much higher than the success rate of predicting sex by chance, as the sex ratio in the sample of individuals in this analysis is approximately 50:50. This again reaffirms our observations based on previous two analyses that the presence of certain categories of grave goods increases our information about the sex of the individual, but the relationship is far from deterministic. </w:t>
      </w:r>
    </w:p>
    <w:p w14:paraId="3189B015" w14:textId="77777777" w:rsidR="00C15A74" w:rsidRDefault="00000000">
      <w:pPr>
        <w:spacing w:before="240" w:after="240"/>
      </w:pPr>
      <w:r>
        <w:rPr>
          <w:noProof/>
        </w:rPr>
        <w:drawing>
          <wp:inline distT="114300" distB="114300" distL="114300" distR="114300" wp14:anchorId="0E4555C3" wp14:editId="14F7DB68">
            <wp:extent cx="2537048" cy="439578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537048" cy="4395788"/>
                    </a:xfrm>
                    <a:prstGeom prst="rect">
                      <a:avLst/>
                    </a:prstGeom>
                    <a:ln/>
                  </pic:spPr>
                </pic:pic>
              </a:graphicData>
            </a:graphic>
          </wp:inline>
        </w:drawing>
      </w:r>
    </w:p>
    <w:p w14:paraId="0A34DD44" w14:textId="77777777" w:rsidR="00C15A74" w:rsidRDefault="00000000">
      <w:pPr>
        <w:spacing w:before="240" w:after="240"/>
        <w:rPr>
          <w:highlight w:val="yellow"/>
        </w:rPr>
      </w:pPr>
      <w:r>
        <w:rPr>
          <w:rFonts w:ascii="Cambria" w:eastAsia="Cambria" w:hAnsi="Cambria" w:cs="Cambria"/>
          <w:sz w:val="20"/>
          <w:szCs w:val="20"/>
        </w:rPr>
        <w:t xml:space="preserve">Figure 5. The importance of grave good categories at </w:t>
      </w:r>
      <w:proofErr w:type="spellStart"/>
      <w:r>
        <w:rPr>
          <w:rFonts w:ascii="Cambria" w:eastAsia="Cambria" w:hAnsi="Cambria" w:cs="Cambria"/>
          <w:sz w:val="20"/>
          <w:szCs w:val="20"/>
        </w:rPr>
        <w:t>Mokrin</w:t>
      </w:r>
      <w:proofErr w:type="spellEnd"/>
      <w:r>
        <w:rPr>
          <w:rFonts w:ascii="Cambria" w:eastAsia="Cambria" w:hAnsi="Cambria" w:cs="Cambria"/>
          <w:sz w:val="20"/>
          <w:szCs w:val="20"/>
        </w:rPr>
        <w:t xml:space="preserve"> for the prediction of sex in the random forest regression model.</w:t>
      </w:r>
    </w:p>
    <w:p w14:paraId="29191FB2"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lastRenderedPageBreak/>
        <w:t xml:space="preserve">A Chi-squared test was conducted to examine the relationship between the orientation of the body and biological sex. The results of the chi-squared test indicate statistical significance between body orientation and sex, Chi squared = 102.484,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6, p &lt; 0.001, suggesting that body orientation and biological sex are not independent of one another.</w:t>
      </w:r>
    </w:p>
    <w:p w14:paraId="43E1A6A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In addition to the chi-squared test, Cramér's V was calculated as a measure of the strength of the effect. The value of Cramer’s V = 0.827, p &lt; 0.001, indicates a strong association between biological sex and body orientation, with a high degree of predictability of individual sex based on the body orientation. The associated p-value for Cramér's V was also p &lt; 0.001, confirming the statistical significance of the strength of the correlation.</w:t>
      </w:r>
    </w:p>
    <w:p w14:paraId="42C387AC" w14:textId="77777777" w:rsidR="00C15A74" w:rsidRDefault="00000000">
      <w:pPr>
        <w:spacing w:before="240" w:after="240"/>
        <w:jc w:val="both"/>
        <w:rPr>
          <w:rFonts w:ascii="Cambria" w:eastAsia="Cambria" w:hAnsi="Cambria" w:cs="Cambria"/>
          <w:sz w:val="24"/>
          <w:szCs w:val="24"/>
          <w:highlight w:val="yellow"/>
        </w:rPr>
      </w:pPr>
      <w:r>
        <w:rPr>
          <w:rFonts w:ascii="Cambria" w:eastAsia="Cambria" w:hAnsi="Cambria" w:cs="Cambria"/>
          <w:sz w:val="24"/>
          <w:szCs w:val="24"/>
        </w:rPr>
        <w:t xml:space="preserve">A closer examination of the data (Table 4) reveals distinct patterns in body orientation across sexes. The majority of females (69 out of 81) were buried with their head to the south, while a significantly smaller number of males (7 out of 69) were buried in this orientation. Other body orientations, such as east, southeast, southwest, and northwest, were largely dominated by females, with males being represented in relatively low numbers in these categories (e.g., 1 male with head to the east, 2 males with head to the southwest, and 1 male with head to the northwest). These discrepancies suggest that body orientation is significantly influenced by sex, with a clear tendency for females to be buried with their heads to the south and males being more varied in their burial orientations. Still, 56 out of 69 males were buried with their heads to the north in accordance with the Maros funerary ritual. </w:t>
      </w:r>
    </w:p>
    <w:p w14:paraId="6238A900" w14:textId="77777777" w:rsidR="00C15A74" w:rsidRDefault="00000000">
      <w:pPr>
        <w:spacing w:before="240" w:after="240"/>
      </w:pPr>
      <w:r>
        <w:tab/>
      </w:r>
      <w:r>
        <w:tab/>
      </w:r>
      <w:r>
        <w:tab/>
      </w:r>
      <w:r>
        <w:tab/>
      </w:r>
      <w:r>
        <w:tab/>
      </w:r>
      <w:r>
        <w:tab/>
      </w:r>
      <w:r>
        <w:tab/>
      </w:r>
      <w:r>
        <w:tab/>
      </w:r>
      <w:r>
        <w:tab/>
      </w:r>
    </w:p>
    <w:tbl>
      <w:tblPr>
        <w:tblStyle w:val="a2"/>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
        <w:gridCol w:w="660"/>
        <w:gridCol w:w="540"/>
        <w:gridCol w:w="570"/>
        <w:gridCol w:w="465"/>
        <w:gridCol w:w="915"/>
        <w:gridCol w:w="885"/>
        <w:gridCol w:w="945"/>
        <w:gridCol w:w="915"/>
        <w:gridCol w:w="510"/>
      </w:tblGrid>
      <w:tr w:rsidR="00C15A74" w14:paraId="2BEC7E06" w14:textId="77777777">
        <w:trPr>
          <w:trHeight w:val="315"/>
        </w:trPr>
        <w:tc>
          <w:tcPr>
            <w:tcW w:w="1095" w:type="dxa"/>
            <w:gridSpan w:val="2"/>
            <w:vMerge w:val="restart"/>
            <w:tcBorders>
              <w:top w:val="nil"/>
              <w:left w:val="nil"/>
              <w:bottom w:val="nil"/>
              <w:right w:val="nil"/>
            </w:tcBorders>
            <w:shd w:val="clear" w:color="auto" w:fill="FFFFFF"/>
            <w:tcMar>
              <w:top w:w="0" w:type="dxa"/>
              <w:left w:w="0" w:type="dxa"/>
              <w:bottom w:w="0" w:type="dxa"/>
              <w:right w:w="0" w:type="dxa"/>
            </w:tcMar>
            <w:vAlign w:val="bottom"/>
          </w:tcPr>
          <w:p w14:paraId="32B844D6" w14:textId="77777777" w:rsidR="00C15A74"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35" w:type="dxa"/>
            <w:gridSpan w:val="7"/>
            <w:tcBorders>
              <w:top w:val="nil"/>
              <w:left w:val="nil"/>
              <w:bottom w:val="nil"/>
              <w:right w:val="single" w:sz="5" w:space="0" w:color="E0E0E0"/>
            </w:tcBorders>
            <w:shd w:val="clear" w:color="auto" w:fill="FFFFFF"/>
            <w:tcMar>
              <w:top w:w="0" w:type="dxa"/>
              <w:left w:w="0" w:type="dxa"/>
              <w:bottom w:w="0" w:type="dxa"/>
              <w:right w:w="0" w:type="dxa"/>
            </w:tcMar>
            <w:vAlign w:val="bottom"/>
          </w:tcPr>
          <w:p w14:paraId="6235856E" w14:textId="77777777" w:rsidR="00C15A74" w:rsidRDefault="00000000">
            <w:pPr>
              <w:spacing w:line="349" w:lineRule="auto"/>
              <w:ind w:left="60" w:right="60"/>
              <w:jc w:val="center"/>
              <w:rPr>
                <w:color w:val="264A60"/>
                <w:sz w:val="18"/>
                <w:szCs w:val="18"/>
              </w:rPr>
            </w:pPr>
            <w:r>
              <w:rPr>
                <w:color w:val="264A60"/>
                <w:sz w:val="18"/>
                <w:szCs w:val="18"/>
              </w:rPr>
              <w:t>Orientation</w:t>
            </w:r>
          </w:p>
        </w:tc>
        <w:tc>
          <w:tcPr>
            <w:tcW w:w="510" w:type="dxa"/>
            <w:vMerge w:val="restart"/>
            <w:tcBorders>
              <w:top w:val="nil"/>
              <w:left w:val="nil"/>
              <w:bottom w:val="nil"/>
              <w:right w:val="nil"/>
            </w:tcBorders>
            <w:shd w:val="clear" w:color="auto" w:fill="FFFFFF"/>
            <w:tcMar>
              <w:top w:w="0" w:type="dxa"/>
              <w:left w:w="0" w:type="dxa"/>
              <w:bottom w:w="0" w:type="dxa"/>
              <w:right w:w="0" w:type="dxa"/>
            </w:tcMar>
            <w:vAlign w:val="bottom"/>
          </w:tcPr>
          <w:p w14:paraId="3A4CB5F0" w14:textId="77777777" w:rsidR="00C15A74" w:rsidRDefault="00000000">
            <w:pPr>
              <w:spacing w:line="349" w:lineRule="auto"/>
              <w:ind w:left="60" w:right="60"/>
              <w:jc w:val="center"/>
              <w:rPr>
                <w:color w:val="264A60"/>
                <w:sz w:val="18"/>
                <w:szCs w:val="18"/>
              </w:rPr>
            </w:pPr>
            <w:r>
              <w:rPr>
                <w:color w:val="264A60"/>
                <w:sz w:val="18"/>
                <w:szCs w:val="18"/>
              </w:rPr>
              <w:t>Total</w:t>
            </w:r>
          </w:p>
        </w:tc>
      </w:tr>
      <w:tr w:rsidR="00C15A74" w14:paraId="41E20011" w14:textId="77777777">
        <w:trPr>
          <w:trHeight w:val="330"/>
        </w:trPr>
        <w:tc>
          <w:tcPr>
            <w:tcW w:w="1095" w:type="dxa"/>
            <w:gridSpan w:val="2"/>
            <w:vMerge/>
            <w:tcBorders>
              <w:top w:val="nil"/>
              <w:left w:val="nil"/>
              <w:bottom w:val="nil"/>
            </w:tcBorders>
            <w:shd w:val="clear" w:color="auto" w:fill="auto"/>
            <w:tcMar>
              <w:top w:w="100" w:type="dxa"/>
              <w:left w:w="100" w:type="dxa"/>
              <w:bottom w:w="100" w:type="dxa"/>
              <w:right w:w="100" w:type="dxa"/>
            </w:tcMar>
          </w:tcPr>
          <w:p w14:paraId="2AAB6ABF" w14:textId="77777777" w:rsidR="00C15A74" w:rsidRDefault="00C15A74">
            <w:pPr>
              <w:spacing w:before="240" w:after="240"/>
            </w:pPr>
          </w:p>
        </w:tc>
        <w:tc>
          <w:tcPr>
            <w:tcW w:w="54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0D2AEE91" w14:textId="77777777" w:rsidR="00C15A74" w:rsidRDefault="00000000">
            <w:pPr>
              <w:spacing w:line="349" w:lineRule="auto"/>
              <w:ind w:left="60" w:right="60"/>
              <w:jc w:val="center"/>
              <w:rPr>
                <w:color w:val="264A60"/>
                <w:sz w:val="18"/>
                <w:szCs w:val="18"/>
              </w:rPr>
            </w:pPr>
            <w:r>
              <w:rPr>
                <w:color w:val="264A60"/>
                <w:sz w:val="18"/>
                <w:szCs w:val="18"/>
              </w:rPr>
              <w:t>north</w:t>
            </w:r>
          </w:p>
        </w:tc>
        <w:tc>
          <w:tcPr>
            <w:tcW w:w="57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430EE799" w14:textId="77777777" w:rsidR="00C15A74" w:rsidRDefault="00000000">
            <w:pPr>
              <w:spacing w:line="349" w:lineRule="auto"/>
              <w:ind w:left="60" w:right="60"/>
              <w:jc w:val="center"/>
              <w:rPr>
                <w:color w:val="264A60"/>
                <w:sz w:val="18"/>
                <w:szCs w:val="18"/>
              </w:rPr>
            </w:pPr>
            <w:r>
              <w:rPr>
                <w:color w:val="264A60"/>
                <w:sz w:val="18"/>
                <w:szCs w:val="18"/>
              </w:rPr>
              <w:t>south</w:t>
            </w:r>
          </w:p>
        </w:tc>
        <w:tc>
          <w:tcPr>
            <w:tcW w:w="46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2DD7B7E4" w14:textId="77777777" w:rsidR="00C15A74" w:rsidRDefault="00000000">
            <w:pPr>
              <w:spacing w:line="349" w:lineRule="auto"/>
              <w:ind w:left="60" w:right="60"/>
              <w:jc w:val="center"/>
              <w:rPr>
                <w:color w:val="264A60"/>
                <w:sz w:val="18"/>
                <w:szCs w:val="18"/>
              </w:rPr>
            </w:pPr>
            <w:r>
              <w:rPr>
                <w:color w:val="264A60"/>
                <w:sz w:val="18"/>
                <w:szCs w:val="18"/>
              </w:rPr>
              <w:t>east</w:t>
            </w:r>
          </w:p>
        </w:tc>
        <w:tc>
          <w:tcPr>
            <w:tcW w:w="91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47B68177" w14:textId="77777777" w:rsidR="00C15A74" w:rsidRDefault="00000000">
            <w:pPr>
              <w:spacing w:line="349" w:lineRule="auto"/>
              <w:ind w:left="60" w:right="60"/>
              <w:jc w:val="center"/>
              <w:rPr>
                <w:color w:val="264A60"/>
                <w:sz w:val="18"/>
                <w:szCs w:val="18"/>
              </w:rPr>
            </w:pPr>
            <w:r>
              <w:rPr>
                <w:color w:val="264A60"/>
                <w:sz w:val="18"/>
                <w:szCs w:val="18"/>
              </w:rPr>
              <w:t>southeast</w:t>
            </w:r>
          </w:p>
        </w:tc>
        <w:tc>
          <w:tcPr>
            <w:tcW w:w="88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3F9191B1" w14:textId="77777777" w:rsidR="00C15A74" w:rsidRDefault="00000000">
            <w:pPr>
              <w:spacing w:line="349" w:lineRule="auto"/>
              <w:ind w:left="60" w:right="60"/>
              <w:jc w:val="center"/>
              <w:rPr>
                <w:color w:val="264A60"/>
                <w:sz w:val="18"/>
                <w:szCs w:val="18"/>
              </w:rPr>
            </w:pPr>
            <w:r>
              <w:rPr>
                <w:color w:val="264A60"/>
                <w:sz w:val="18"/>
                <w:szCs w:val="18"/>
              </w:rPr>
              <w:t>northeast</w:t>
            </w:r>
          </w:p>
        </w:tc>
        <w:tc>
          <w:tcPr>
            <w:tcW w:w="94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4E8EF683" w14:textId="77777777" w:rsidR="00C15A74" w:rsidRDefault="00000000">
            <w:pPr>
              <w:spacing w:line="349" w:lineRule="auto"/>
              <w:ind w:left="60" w:right="60"/>
              <w:jc w:val="center"/>
              <w:rPr>
                <w:color w:val="264A60"/>
                <w:sz w:val="18"/>
                <w:szCs w:val="18"/>
              </w:rPr>
            </w:pPr>
            <w:r>
              <w:rPr>
                <w:color w:val="264A60"/>
                <w:sz w:val="18"/>
                <w:szCs w:val="18"/>
              </w:rPr>
              <w:t>southwest</w:t>
            </w:r>
          </w:p>
        </w:tc>
        <w:tc>
          <w:tcPr>
            <w:tcW w:w="91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5D93D6CE" w14:textId="77777777" w:rsidR="00C15A74" w:rsidRDefault="00000000">
            <w:pPr>
              <w:spacing w:line="349" w:lineRule="auto"/>
              <w:ind w:left="60" w:right="60"/>
              <w:jc w:val="center"/>
              <w:rPr>
                <w:color w:val="264A60"/>
                <w:sz w:val="18"/>
                <w:szCs w:val="18"/>
              </w:rPr>
            </w:pPr>
            <w:r>
              <w:rPr>
                <w:color w:val="264A60"/>
                <w:sz w:val="18"/>
                <w:szCs w:val="18"/>
              </w:rPr>
              <w:t>northwest</w:t>
            </w:r>
          </w:p>
        </w:tc>
        <w:tc>
          <w:tcPr>
            <w:tcW w:w="510" w:type="dxa"/>
            <w:vMerge/>
            <w:tcBorders>
              <w:top w:val="nil"/>
              <w:left w:val="nil"/>
              <w:bottom w:val="nil"/>
              <w:right w:val="nil"/>
            </w:tcBorders>
            <w:shd w:val="clear" w:color="auto" w:fill="auto"/>
            <w:tcMar>
              <w:top w:w="100" w:type="dxa"/>
              <w:left w:w="100" w:type="dxa"/>
              <w:bottom w:w="100" w:type="dxa"/>
              <w:right w:w="100" w:type="dxa"/>
            </w:tcMar>
          </w:tcPr>
          <w:p w14:paraId="0BA4872A" w14:textId="77777777" w:rsidR="00C15A74" w:rsidRDefault="00C15A74">
            <w:pPr>
              <w:spacing w:before="240" w:after="240"/>
            </w:pPr>
          </w:p>
        </w:tc>
      </w:tr>
      <w:tr w:rsidR="00C15A74" w14:paraId="0C581578" w14:textId="77777777">
        <w:trPr>
          <w:trHeight w:val="330"/>
        </w:trPr>
        <w:tc>
          <w:tcPr>
            <w:tcW w:w="435" w:type="dxa"/>
            <w:vMerge w:val="restart"/>
            <w:tcBorders>
              <w:top w:val="single" w:sz="5" w:space="0" w:color="152935"/>
              <w:left w:val="nil"/>
              <w:bottom w:val="single" w:sz="5" w:space="0" w:color="AEAEAE"/>
              <w:right w:val="nil"/>
            </w:tcBorders>
            <w:shd w:val="clear" w:color="auto" w:fill="E0E0E0"/>
            <w:tcMar>
              <w:top w:w="0" w:type="dxa"/>
              <w:left w:w="0" w:type="dxa"/>
              <w:bottom w:w="0" w:type="dxa"/>
              <w:right w:w="0" w:type="dxa"/>
            </w:tcMar>
          </w:tcPr>
          <w:p w14:paraId="162973A8" w14:textId="77777777" w:rsidR="00C15A74" w:rsidRDefault="00000000">
            <w:pPr>
              <w:spacing w:line="349" w:lineRule="auto"/>
              <w:ind w:left="60" w:right="60"/>
              <w:rPr>
                <w:color w:val="264A60"/>
                <w:sz w:val="18"/>
                <w:szCs w:val="18"/>
              </w:rPr>
            </w:pPr>
            <w:r>
              <w:rPr>
                <w:color w:val="264A60"/>
                <w:sz w:val="18"/>
                <w:szCs w:val="18"/>
              </w:rPr>
              <w:t>Sex</w:t>
            </w:r>
          </w:p>
        </w:tc>
        <w:tc>
          <w:tcPr>
            <w:tcW w:w="660" w:type="dxa"/>
            <w:tcBorders>
              <w:top w:val="single" w:sz="5" w:space="0" w:color="152935"/>
              <w:left w:val="nil"/>
              <w:bottom w:val="single" w:sz="5" w:space="0" w:color="AEAEAE"/>
              <w:right w:val="nil"/>
            </w:tcBorders>
            <w:shd w:val="clear" w:color="auto" w:fill="E0E0E0"/>
            <w:tcMar>
              <w:top w:w="0" w:type="dxa"/>
              <w:left w:w="0" w:type="dxa"/>
              <w:bottom w:w="0" w:type="dxa"/>
              <w:right w:w="0" w:type="dxa"/>
            </w:tcMar>
          </w:tcPr>
          <w:p w14:paraId="4F46A196" w14:textId="77777777" w:rsidR="00C15A74" w:rsidRDefault="00000000">
            <w:pPr>
              <w:spacing w:line="349" w:lineRule="auto"/>
              <w:ind w:left="60" w:right="60"/>
              <w:rPr>
                <w:color w:val="264A60"/>
                <w:sz w:val="18"/>
                <w:szCs w:val="18"/>
              </w:rPr>
            </w:pPr>
            <w:r>
              <w:rPr>
                <w:color w:val="264A60"/>
                <w:sz w:val="18"/>
                <w:szCs w:val="18"/>
              </w:rPr>
              <w:t>female</w:t>
            </w:r>
          </w:p>
        </w:tc>
        <w:tc>
          <w:tcPr>
            <w:tcW w:w="540"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63B1E21D" w14:textId="77777777" w:rsidR="00C15A74" w:rsidRDefault="00000000">
            <w:pPr>
              <w:spacing w:line="349" w:lineRule="auto"/>
              <w:ind w:left="60" w:right="60"/>
              <w:jc w:val="right"/>
              <w:rPr>
                <w:color w:val="010205"/>
                <w:sz w:val="18"/>
                <w:szCs w:val="18"/>
              </w:rPr>
            </w:pPr>
            <w:r>
              <w:rPr>
                <w:color w:val="010205"/>
                <w:sz w:val="18"/>
                <w:szCs w:val="18"/>
              </w:rPr>
              <w:t>4</w:t>
            </w:r>
          </w:p>
        </w:tc>
        <w:tc>
          <w:tcPr>
            <w:tcW w:w="570"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3A3C5E95" w14:textId="77777777" w:rsidR="00C15A74" w:rsidRDefault="00000000">
            <w:pPr>
              <w:spacing w:line="349" w:lineRule="auto"/>
              <w:ind w:left="60" w:right="60"/>
              <w:jc w:val="right"/>
              <w:rPr>
                <w:color w:val="010205"/>
                <w:sz w:val="18"/>
                <w:szCs w:val="18"/>
              </w:rPr>
            </w:pPr>
            <w:r>
              <w:rPr>
                <w:color w:val="010205"/>
                <w:sz w:val="18"/>
                <w:szCs w:val="18"/>
              </w:rPr>
              <w:t>69</w:t>
            </w:r>
          </w:p>
        </w:tc>
        <w:tc>
          <w:tcPr>
            <w:tcW w:w="46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3905511F" w14:textId="77777777" w:rsidR="00C15A74" w:rsidRDefault="00000000">
            <w:pPr>
              <w:spacing w:line="349" w:lineRule="auto"/>
              <w:ind w:left="60" w:right="60"/>
              <w:jc w:val="right"/>
              <w:rPr>
                <w:color w:val="010205"/>
                <w:sz w:val="18"/>
                <w:szCs w:val="18"/>
              </w:rPr>
            </w:pPr>
            <w:r>
              <w:rPr>
                <w:color w:val="010205"/>
                <w:sz w:val="18"/>
                <w:szCs w:val="18"/>
              </w:rPr>
              <w:t>1</w:t>
            </w:r>
          </w:p>
        </w:tc>
        <w:tc>
          <w:tcPr>
            <w:tcW w:w="91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1C05E7AF" w14:textId="77777777" w:rsidR="00C15A74" w:rsidRDefault="00000000">
            <w:pPr>
              <w:spacing w:line="349" w:lineRule="auto"/>
              <w:ind w:left="60" w:right="60"/>
              <w:jc w:val="right"/>
              <w:rPr>
                <w:color w:val="010205"/>
                <w:sz w:val="18"/>
                <w:szCs w:val="18"/>
              </w:rPr>
            </w:pPr>
            <w:r>
              <w:rPr>
                <w:color w:val="010205"/>
                <w:sz w:val="18"/>
                <w:szCs w:val="18"/>
              </w:rPr>
              <w:t>3</w:t>
            </w:r>
          </w:p>
        </w:tc>
        <w:tc>
          <w:tcPr>
            <w:tcW w:w="88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2995DAC0" w14:textId="77777777" w:rsidR="00C15A74" w:rsidRDefault="00000000">
            <w:pPr>
              <w:spacing w:line="349" w:lineRule="auto"/>
              <w:ind w:left="60" w:right="60"/>
              <w:jc w:val="right"/>
              <w:rPr>
                <w:color w:val="010205"/>
                <w:sz w:val="18"/>
                <w:szCs w:val="18"/>
              </w:rPr>
            </w:pPr>
            <w:r>
              <w:rPr>
                <w:color w:val="010205"/>
                <w:sz w:val="18"/>
                <w:szCs w:val="18"/>
              </w:rPr>
              <w:t>4</w:t>
            </w:r>
          </w:p>
        </w:tc>
        <w:tc>
          <w:tcPr>
            <w:tcW w:w="94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74F5B7BC" w14:textId="77777777" w:rsidR="00C15A74" w:rsidRDefault="00000000">
            <w:pPr>
              <w:spacing w:line="349" w:lineRule="auto"/>
              <w:ind w:left="60" w:right="60"/>
              <w:jc w:val="right"/>
              <w:rPr>
                <w:color w:val="010205"/>
                <w:sz w:val="18"/>
                <w:szCs w:val="18"/>
              </w:rPr>
            </w:pPr>
            <w:r>
              <w:rPr>
                <w:color w:val="010205"/>
                <w:sz w:val="18"/>
                <w:szCs w:val="18"/>
              </w:rPr>
              <w:t>0</w:t>
            </w:r>
          </w:p>
        </w:tc>
        <w:tc>
          <w:tcPr>
            <w:tcW w:w="91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1196AC26" w14:textId="77777777" w:rsidR="00C15A74" w:rsidRDefault="00000000">
            <w:pPr>
              <w:spacing w:line="349" w:lineRule="auto"/>
              <w:ind w:left="60" w:right="60"/>
              <w:jc w:val="right"/>
              <w:rPr>
                <w:color w:val="010205"/>
                <w:sz w:val="18"/>
                <w:szCs w:val="18"/>
              </w:rPr>
            </w:pPr>
            <w:r>
              <w:rPr>
                <w:color w:val="010205"/>
                <w:sz w:val="18"/>
                <w:szCs w:val="18"/>
              </w:rPr>
              <w:t>0</w:t>
            </w:r>
          </w:p>
        </w:tc>
        <w:tc>
          <w:tcPr>
            <w:tcW w:w="510" w:type="dxa"/>
            <w:tcBorders>
              <w:top w:val="single" w:sz="5" w:space="0" w:color="152935"/>
              <w:left w:val="nil"/>
              <w:bottom w:val="single" w:sz="5" w:space="0" w:color="AEAEAE"/>
              <w:right w:val="nil"/>
            </w:tcBorders>
            <w:shd w:val="clear" w:color="auto" w:fill="FFFFFF"/>
            <w:tcMar>
              <w:top w:w="0" w:type="dxa"/>
              <w:left w:w="0" w:type="dxa"/>
              <w:bottom w:w="0" w:type="dxa"/>
              <w:right w:w="0" w:type="dxa"/>
            </w:tcMar>
          </w:tcPr>
          <w:p w14:paraId="5C56E33A" w14:textId="77777777" w:rsidR="00C15A74" w:rsidRDefault="00000000">
            <w:pPr>
              <w:spacing w:line="349" w:lineRule="auto"/>
              <w:ind w:left="60" w:right="60"/>
              <w:jc w:val="right"/>
              <w:rPr>
                <w:color w:val="010205"/>
                <w:sz w:val="18"/>
                <w:szCs w:val="18"/>
              </w:rPr>
            </w:pPr>
            <w:r>
              <w:rPr>
                <w:color w:val="010205"/>
                <w:sz w:val="18"/>
                <w:szCs w:val="18"/>
              </w:rPr>
              <w:t>81</w:t>
            </w:r>
          </w:p>
        </w:tc>
      </w:tr>
      <w:tr w:rsidR="00C15A74" w14:paraId="281FFCD6" w14:textId="77777777">
        <w:trPr>
          <w:trHeight w:val="330"/>
        </w:trPr>
        <w:tc>
          <w:tcPr>
            <w:tcW w:w="435" w:type="dxa"/>
            <w:vMerge/>
            <w:tcBorders>
              <w:top w:val="single" w:sz="5" w:space="0" w:color="152935"/>
              <w:left w:val="nil"/>
              <w:bottom w:val="single" w:sz="5" w:space="0" w:color="AEAEAE"/>
              <w:right w:val="nil"/>
            </w:tcBorders>
            <w:shd w:val="clear" w:color="auto" w:fill="auto"/>
            <w:tcMar>
              <w:top w:w="100" w:type="dxa"/>
              <w:left w:w="100" w:type="dxa"/>
              <w:bottom w:w="100" w:type="dxa"/>
              <w:right w:w="100" w:type="dxa"/>
            </w:tcMar>
          </w:tcPr>
          <w:p w14:paraId="2A3C5790" w14:textId="77777777" w:rsidR="00C15A74" w:rsidRDefault="00C15A74">
            <w:pPr>
              <w:spacing w:before="240" w:after="240"/>
            </w:pPr>
          </w:p>
        </w:tc>
        <w:tc>
          <w:tcPr>
            <w:tcW w:w="660" w:type="dxa"/>
            <w:tcBorders>
              <w:top w:val="nil"/>
              <w:left w:val="nil"/>
              <w:bottom w:val="single" w:sz="5" w:space="0" w:color="AEAEAE"/>
              <w:right w:val="nil"/>
            </w:tcBorders>
            <w:shd w:val="clear" w:color="auto" w:fill="E0E0E0"/>
            <w:tcMar>
              <w:top w:w="0" w:type="dxa"/>
              <w:left w:w="0" w:type="dxa"/>
              <w:bottom w:w="0" w:type="dxa"/>
              <w:right w:w="0" w:type="dxa"/>
            </w:tcMar>
          </w:tcPr>
          <w:p w14:paraId="67F80747" w14:textId="77777777" w:rsidR="00C15A74" w:rsidRDefault="00000000">
            <w:pPr>
              <w:spacing w:line="349" w:lineRule="auto"/>
              <w:ind w:left="60" w:right="60"/>
              <w:rPr>
                <w:color w:val="264A60"/>
                <w:sz w:val="18"/>
                <w:szCs w:val="18"/>
              </w:rPr>
            </w:pPr>
            <w:r>
              <w:rPr>
                <w:color w:val="264A60"/>
                <w:sz w:val="18"/>
                <w:szCs w:val="18"/>
              </w:rPr>
              <w:t>male</w:t>
            </w:r>
          </w:p>
        </w:tc>
        <w:tc>
          <w:tcPr>
            <w:tcW w:w="540"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313C1213" w14:textId="77777777" w:rsidR="00C15A74" w:rsidRDefault="00000000">
            <w:pPr>
              <w:spacing w:line="349" w:lineRule="auto"/>
              <w:ind w:left="60" w:right="60"/>
              <w:jc w:val="right"/>
              <w:rPr>
                <w:color w:val="010205"/>
                <w:sz w:val="18"/>
                <w:szCs w:val="18"/>
              </w:rPr>
            </w:pPr>
            <w:r>
              <w:rPr>
                <w:color w:val="010205"/>
                <w:sz w:val="18"/>
                <w:szCs w:val="18"/>
              </w:rPr>
              <w:t>56</w:t>
            </w:r>
          </w:p>
        </w:tc>
        <w:tc>
          <w:tcPr>
            <w:tcW w:w="570"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688E303A" w14:textId="77777777" w:rsidR="00C15A74" w:rsidRDefault="00000000">
            <w:pPr>
              <w:spacing w:line="349" w:lineRule="auto"/>
              <w:ind w:left="60" w:right="60"/>
              <w:jc w:val="right"/>
              <w:rPr>
                <w:color w:val="010205"/>
                <w:sz w:val="18"/>
                <w:szCs w:val="18"/>
              </w:rPr>
            </w:pPr>
            <w:r>
              <w:rPr>
                <w:color w:val="010205"/>
                <w:sz w:val="18"/>
                <w:szCs w:val="18"/>
              </w:rPr>
              <w:t>7</w:t>
            </w:r>
          </w:p>
        </w:tc>
        <w:tc>
          <w:tcPr>
            <w:tcW w:w="46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31DD0C4B" w14:textId="77777777" w:rsidR="00C15A74" w:rsidRDefault="00000000">
            <w:pPr>
              <w:spacing w:line="349" w:lineRule="auto"/>
              <w:ind w:left="60" w:right="60"/>
              <w:jc w:val="right"/>
              <w:rPr>
                <w:color w:val="010205"/>
                <w:sz w:val="18"/>
                <w:szCs w:val="18"/>
              </w:rPr>
            </w:pPr>
            <w:r>
              <w:rPr>
                <w:color w:val="010205"/>
                <w:sz w:val="18"/>
                <w:szCs w:val="18"/>
              </w:rPr>
              <w:t>0</w:t>
            </w:r>
          </w:p>
        </w:tc>
        <w:tc>
          <w:tcPr>
            <w:tcW w:w="91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082D7051" w14:textId="77777777" w:rsidR="00C15A74" w:rsidRDefault="00000000">
            <w:pPr>
              <w:spacing w:line="349" w:lineRule="auto"/>
              <w:ind w:left="60" w:right="60"/>
              <w:jc w:val="right"/>
              <w:rPr>
                <w:color w:val="010205"/>
                <w:sz w:val="18"/>
                <w:szCs w:val="18"/>
              </w:rPr>
            </w:pPr>
            <w:r>
              <w:rPr>
                <w:color w:val="010205"/>
                <w:sz w:val="18"/>
                <w:szCs w:val="18"/>
              </w:rPr>
              <w:t>0</w:t>
            </w:r>
          </w:p>
        </w:tc>
        <w:tc>
          <w:tcPr>
            <w:tcW w:w="88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523A8973" w14:textId="77777777" w:rsidR="00C15A74" w:rsidRDefault="00000000">
            <w:pPr>
              <w:spacing w:line="349" w:lineRule="auto"/>
              <w:ind w:left="60" w:right="60"/>
              <w:jc w:val="right"/>
              <w:rPr>
                <w:color w:val="010205"/>
                <w:sz w:val="18"/>
                <w:szCs w:val="18"/>
              </w:rPr>
            </w:pPr>
            <w:r>
              <w:rPr>
                <w:color w:val="010205"/>
                <w:sz w:val="18"/>
                <w:szCs w:val="18"/>
              </w:rPr>
              <w:t>3</w:t>
            </w:r>
          </w:p>
        </w:tc>
        <w:tc>
          <w:tcPr>
            <w:tcW w:w="94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2AB7D932" w14:textId="77777777" w:rsidR="00C15A74" w:rsidRDefault="00000000">
            <w:pPr>
              <w:spacing w:line="349" w:lineRule="auto"/>
              <w:ind w:left="60" w:right="60"/>
              <w:jc w:val="right"/>
              <w:rPr>
                <w:color w:val="010205"/>
                <w:sz w:val="18"/>
                <w:szCs w:val="18"/>
              </w:rPr>
            </w:pPr>
            <w:r>
              <w:rPr>
                <w:color w:val="010205"/>
                <w:sz w:val="18"/>
                <w:szCs w:val="18"/>
              </w:rPr>
              <w:t>2</w:t>
            </w:r>
          </w:p>
        </w:tc>
        <w:tc>
          <w:tcPr>
            <w:tcW w:w="91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6A141386" w14:textId="77777777" w:rsidR="00C15A74" w:rsidRDefault="00000000">
            <w:pPr>
              <w:spacing w:line="349" w:lineRule="auto"/>
              <w:ind w:left="60" w:right="60"/>
              <w:jc w:val="right"/>
              <w:rPr>
                <w:color w:val="010205"/>
                <w:sz w:val="18"/>
                <w:szCs w:val="18"/>
              </w:rPr>
            </w:pPr>
            <w:r>
              <w:rPr>
                <w:color w:val="010205"/>
                <w:sz w:val="18"/>
                <w:szCs w:val="18"/>
              </w:rPr>
              <w:t>1</w:t>
            </w:r>
          </w:p>
        </w:tc>
        <w:tc>
          <w:tcPr>
            <w:tcW w:w="510" w:type="dxa"/>
            <w:tcBorders>
              <w:top w:val="nil"/>
              <w:left w:val="nil"/>
              <w:bottom w:val="single" w:sz="5" w:space="0" w:color="AEAEAE"/>
              <w:right w:val="nil"/>
            </w:tcBorders>
            <w:shd w:val="clear" w:color="auto" w:fill="FFFFFF"/>
            <w:tcMar>
              <w:top w:w="0" w:type="dxa"/>
              <w:left w:w="0" w:type="dxa"/>
              <w:bottom w:w="0" w:type="dxa"/>
              <w:right w:w="0" w:type="dxa"/>
            </w:tcMar>
          </w:tcPr>
          <w:p w14:paraId="1F3DFD02" w14:textId="77777777" w:rsidR="00C15A74" w:rsidRDefault="00000000">
            <w:pPr>
              <w:spacing w:line="349" w:lineRule="auto"/>
              <w:ind w:left="60" w:right="60"/>
              <w:jc w:val="right"/>
              <w:rPr>
                <w:color w:val="010205"/>
                <w:sz w:val="18"/>
                <w:szCs w:val="18"/>
              </w:rPr>
            </w:pPr>
            <w:r>
              <w:rPr>
                <w:color w:val="010205"/>
                <w:sz w:val="18"/>
                <w:szCs w:val="18"/>
              </w:rPr>
              <w:t>69</w:t>
            </w:r>
          </w:p>
        </w:tc>
      </w:tr>
      <w:tr w:rsidR="00C15A74" w14:paraId="289311B3" w14:textId="77777777">
        <w:trPr>
          <w:trHeight w:val="330"/>
        </w:trPr>
        <w:tc>
          <w:tcPr>
            <w:tcW w:w="1095" w:type="dxa"/>
            <w:gridSpan w:val="2"/>
            <w:tcBorders>
              <w:top w:val="nil"/>
              <w:left w:val="nil"/>
              <w:bottom w:val="single" w:sz="5" w:space="0" w:color="152935"/>
              <w:right w:val="nil"/>
            </w:tcBorders>
            <w:shd w:val="clear" w:color="auto" w:fill="E0E0E0"/>
            <w:tcMar>
              <w:top w:w="0" w:type="dxa"/>
              <w:left w:w="0" w:type="dxa"/>
              <w:bottom w:w="0" w:type="dxa"/>
              <w:right w:w="0" w:type="dxa"/>
            </w:tcMar>
          </w:tcPr>
          <w:p w14:paraId="6E335FAD" w14:textId="77777777" w:rsidR="00C15A74" w:rsidRDefault="00000000">
            <w:pPr>
              <w:spacing w:line="349" w:lineRule="auto"/>
              <w:ind w:left="60" w:right="60"/>
              <w:rPr>
                <w:color w:val="264A60"/>
                <w:sz w:val="18"/>
                <w:szCs w:val="18"/>
              </w:rPr>
            </w:pPr>
            <w:r>
              <w:rPr>
                <w:color w:val="264A60"/>
                <w:sz w:val="18"/>
                <w:szCs w:val="18"/>
              </w:rPr>
              <w:t>Total</w:t>
            </w:r>
          </w:p>
        </w:tc>
        <w:tc>
          <w:tcPr>
            <w:tcW w:w="54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43EA6A0E" w14:textId="77777777" w:rsidR="00C15A74" w:rsidRDefault="00000000">
            <w:pPr>
              <w:spacing w:line="349" w:lineRule="auto"/>
              <w:ind w:left="60" w:right="60"/>
              <w:jc w:val="right"/>
              <w:rPr>
                <w:color w:val="010205"/>
                <w:sz w:val="18"/>
                <w:szCs w:val="18"/>
              </w:rPr>
            </w:pPr>
            <w:r>
              <w:rPr>
                <w:color w:val="010205"/>
                <w:sz w:val="18"/>
                <w:szCs w:val="18"/>
              </w:rPr>
              <w:t>60</w:t>
            </w:r>
          </w:p>
        </w:tc>
        <w:tc>
          <w:tcPr>
            <w:tcW w:w="57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12F37ED2" w14:textId="77777777" w:rsidR="00C15A74" w:rsidRDefault="00000000">
            <w:pPr>
              <w:spacing w:line="349" w:lineRule="auto"/>
              <w:ind w:left="60" w:right="60"/>
              <w:jc w:val="right"/>
              <w:rPr>
                <w:color w:val="010205"/>
                <w:sz w:val="18"/>
                <w:szCs w:val="18"/>
              </w:rPr>
            </w:pPr>
            <w:r>
              <w:rPr>
                <w:color w:val="010205"/>
                <w:sz w:val="18"/>
                <w:szCs w:val="18"/>
              </w:rPr>
              <w:t>76</w:t>
            </w:r>
          </w:p>
        </w:tc>
        <w:tc>
          <w:tcPr>
            <w:tcW w:w="46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2254E8B3" w14:textId="77777777" w:rsidR="00C15A74" w:rsidRDefault="00000000">
            <w:pPr>
              <w:spacing w:line="349" w:lineRule="auto"/>
              <w:ind w:left="60" w:right="60"/>
              <w:jc w:val="right"/>
              <w:rPr>
                <w:color w:val="010205"/>
                <w:sz w:val="18"/>
                <w:szCs w:val="18"/>
              </w:rPr>
            </w:pPr>
            <w:r>
              <w:rPr>
                <w:color w:val="010205"/>
                <w:sz w:val="18"/>
                <w:szCs w:val="18"/>
              </w:rPr>
              <w:t>1</w:t>
            </w:r>
          </w:p>
        </w:tc>
        <w:tc>
          <w:tcPr>
            <w:tcW w:w="91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2E6FED86" w14:textId="77777777" w:rsidR="00C15A74" w:rsidRDefault="00000000">
            <w:pPr>
              <w:spacing w:line="349" w:lineRule="auto"/>
              <w:ind w:left="60" w:right="60"/>
              <w:jc w:val="right"/>
              <w:rPr>
                <w:color w:val="010205"/>
                <w:sz w:val="18"/>
                <w:szCs w:val="18"/>
              </w:rPr>
            </w:pPr>
            <w:r>
              <w:rPr>
                <w:color w:val="010205"/>
                <w:sz w:val="18"/>
                <w:szCs w:val="18"/>
              </w:rPr>
              <w:t>3</w:t>
            </w:r>
          </w:p>
        </w:tc>
        <w:tc>
          <w:tcPr>
            <w:tcW w:w="88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16F806FF" w14:textId="77777777" w:rsidR="00C15A74" w:rsidRDefault="00000000">
            <w:pPr>
              <w:spacing w:line="349" w:lineRule="auto"/>
              <w:ind w:left="60" w:right="60"/>
              <w:jc w:val="right"/>
              <w:rPr>
                <w:color w:val="010205"/>
                <w:sz w:val="18"/>
                <w:szCs w:val="18"/>
              </w:rPr>
            </w:pPr>
            <w:r>
              <w:rPr>
                <w:color w:val="010205"/>
                <w:sz w:val="18"/>
                <w:szCs w:val="18"/>
              </w:rPr>
              <w:t>7</w:t>
            </w:r>
          </w:p>
        </w:tc>
        <w:tc>
          <w:tcPr>
            <w:tcW w:w="94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44312BE5" w14:textId="77777777" w:rsidR="00C15A74" w:rsidRDefault="00000000">
            <w:pPr>
              <w:spacing w:line="349" w:lineRule="auto"/>
              <w:ind w:left="60" w:right="60"/>
              <w:jc w:val="right"/>
              <w:rPr>
                <w:color w:val="010205"/>
                <w:sz w:val="18"/>
                <w:szCs w:val="18"/>
              </w:rPr>
            </w:pPr>
            <w:r>
              <w:rPr>
                <w:color w:val="010205"/>
                <w:sz w:val="18"/>
                <w:szCs w:val="18"/>
              </w:rPr>
              <w:t>2</w:t>
            </w:r>
          </w:p>
        </w:tc>
        <w:tc>
          <w:tcPr>
            <w:tcW w:w="91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2D6DC011" w14:textId="77777777" w:rsidR="00C15A74" w:rsidRDefault="00000000">
            <w:pPr>
              <w:spacing w:line="349" w:lineRule="auto"/>
              <w:ind w:left="60" w:right="60"/>
              <w:jc w:val="right"/>
              <w:rPr>
                <w:color w:val="010205"/>
                <w:sz w:val="18"/>
                <w:szCs w:val="18"/>
              </w:rPr>
            </w:pPr>
            <w:r>
              <w:rPr>
                <w:color w:val="010205"/>
                <w:sz w:val="18"/>
                <w:szCs w:val="18"/>
              </w:rPr>
              <w:t>1</w:t>
            </w:r>
          </w:p>
        </w:tc>
        <w:tc>
          <w:tcPr>
            <w:tcW w:w="510" w:type="dxa"/>
            <w:tcBorders>
              <w:top w:val="nil"/>
              <w:left w:val="nil"/>
              <w:bottom w:val="single" w:sz="5" w:space="0" w:color="152935"/>
              <w:right w:val="nil"/>
            </w:tcBorders>
            <w:shd w:val="clear" w:color="auto" w:fill="FFFFFF"/>
            <w:tcMar>
              <w:top w:w="0" w:type="dxa"/>
              <w:left w:w="0" w:type="dxa"/>
              <w:bottom w:w="0" w:type="dxa"/>
              <w:right w:w="0" w:type="dxa"/>
            </w:tcMar>
          </w:tcPr>
          <w:p w14:paraId="666E17C7" w14:textId="77777777" w:rsidR="00C15A74" w:rsidRDefault="00000000">
            <w:pPr>
              <w:spacing w:line="349" w:lineRule="auto"/>
              <w:ind w:left="60" w:right="60"/>
              <w:jc w:val="right"/>
              <w:rPr>
                <w:color w:val="010205"/>
                <w:sz w:val="18"/>
                <w:szCs w:val="18"/>
              </w:rPr>
            </w:pPr>
            <w:r>
              <w:rPr>
                <w:color w:val="010205"/>
                <w:sz w:val="18"/>
                <w:szCs w:val="18"/>
              </w:rPr>
              <w:t>150</w:t>
            </w:r>
          </w:p>
        </w:tc>
      </w:tr>
    </w:tbl>
    <w:p w14:paraId="2D1AC2CA" w14:textId="77777777" w:rsidR="00C15A74" w:rsidRDefault="00000000">
      <w:pPr>
        <w:spacing w:before="240" w:after="240"/>
        <w:rPr>
          <w:rFonts w:ascii="Cambria" w:eastAsia="Cambria" w:hAnsi="Cambria" w:cs="Cambria"/>
          <w:sz w:val="20"/>
          <w:szCs w:val="20"/>
        </w:rPr>
      </w:pPr>
      <w:r>
        <w:rPr>
          <w:rFonts w:ascii="Cambria" w:eastAsia="Cambria" w:hAnsi="Cambria" w:cs="Cambria"/>
          <w:sz w:val="20"/>
          <w:szCs w:val="20"/>
        </w:rPr>
        <w:t xml:space="preserve">Table 4. Contingency table for the chi-squared test showing the relationship of sex and body orientation at </w:t>
      </w:r>
      <w:proofErr w:type="spellStart"/>
      <w:r>
        <w:rPr>
          <w:rFonts w:ascii="Cambria" w:eastAsia="Cambria" w:hAnsi="Cambria" w:cs="Cambria"/>
          <w:sz w:val="20"/>
          <w:szCs w:val="20"/>
        </w:rPr>
        <w:t>Mokrin</w:t>
      </w:r>
      <w:proofErr w:type="spellEnd"/>
      <w:r>
        <w:rPr>
          <w:rFonts w:ascii="Cambria" w:eastAsia="Cambria" w:hAnsi="Cambria" w:cs="Cambria"/>
          <w:sz w:val="20"/>
          <w:szCs w:val="20"/>
        </w:rPr>
        <w:t xml:space="preserve">. Chi squared = 102.484, </w:t>
      </w:r>
      <w:proofErr w:type="spellStart"/>
      <w:r>
        <w:rPr>
          <w:rFonts w:ascii="Cambria" w:eastAsia="Cambria" w:hAnsi="Cambria" w:cs="Cambria"/>
          <w:sz w:val="20"/>
          <w:szCs w:val="20"/>
        </w:rPr>
        <w:t>df</w:t>
      </w:r>
      <w:proofErr w:type="spellEnd"/>
      <w:r>
        <w:rPr>
          <w:rFonts w:ascii="Cambria" w:eastAsia="Cambria" w:hAnsi="Cambria" w:cs="Cambria"/>
          <w:sz w:val="20"/>
          <w:szCs w:val="20"/>
        </w:rPr>
        <w:t xml:space="preserve"> = 6. P &lt; 0.001, Cramer’s V = 0.827, p &lt; 0.001</w:t>
      </w:r>
    </w:p>
    <w:p w14:paraId="76AF9326" w14:textId="77777777" w:rsidR="00C15A74" w:rsidRDefault="00C15A74">
      <w:pPr>
        <w:spacing w:before="240" w:after="240"/>
      </w:pPr>
    </w:p>
    <w:p w14:paraId="48AD1BDB" w14:textId="77777777" w:rsidR="00C15A74" w:rsidRDefault="00000000">
      <w:pPr>
        <w:spacing w:before="240" w:after="240"/>
        <w:jc w:val="both"/>
        <w:rPr>
          <w:color w:val="010205"/>
          <w:sz w:val="18"/>
          <w:szCs w:val="18"/>
        </w:rPr>
      </w:pPr>
      <w:r>
        <w:rPr>
          <w:rFonts w:ascii="Cambria" w:eastAsia="Cambria" w:hAnsi="Cambria" w:cs="Cambria"/>
          <w:sz w:val="24"/>
          <w:szCs w:val="24"/>
        </w:rPr>
        <w:t xml:space="preserve">For all three dimensions of the burial pit - depth, width, and length - mean values are higher for males than for females (Table 5). However, there are no statistically significant differences between males and females in the depth (t = -1.2,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149, p = 0.232) and width </w:t>
      </w:r>
      <w:r>
        <w:rPr>
          <w:rFonts w:ascii="Cambria" w:eastAsia="Cambria" w:hAnsi="Cambria" w:cs="Cambria"/>
          <w:sz w:val="24"/>
          <w:szCs w:val="24"/>
        </w:rPr>
        <w:lastRenderedPageBreak/>
        <w:t xml:space="preserve">(t = -1.457,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135, p = 0.147) of the burial pit. Only the difference in burial pit length is statistically significant (t = -2.455,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136, p = 0.015), probably reflecting differences in height between males and females.</w:t>
      </w:r>
    </w:p>
    <w:p w14:paraId="34126E8F" w14:textId="77777777" w:rsidR="00C15A74" w:rsidRDefault="00C15A74">
      <w:pPr>
        <w:spacing w:before="240" w:after="240"/>
        <w:jc w:val="both"/>
        <w:rPr>
          <w:rFonts w:ascii="Cambria" w:eastAsia="Cambria" w:hAnsi="Cambria" w:cs="Cambria"/>
          <w:sz w:val="24"/>
          <w:szCs w:val="24"/>
        </w:rPr>
      </w:pPr>
    </w:p>
    <w:p w14:paraId="42284129" w14:textId="77777777" w:rsidR="00C15A74" w:rsidRDefault="00C15A74">
      <w:pPr>
        <w:spacing w:before="240" w:after="240"/>
      </w:pPr>
    </w:p>
    <w:tbl>
      <w:tblPr>
        <w:tblStyle w:val="a3"/>
        <w:tblW w:w="72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080"/>
        <w:gridCol w:w="1275"/>
        <w:gridCol w:w="1365"/>
        <w:gridCol w:w="1800"/>
      </w:tblGrid>
      <w:tr w:rsidR="00C15A74" w14:paraId="76D361CF" w14:textId="77777777">
        <w:trPr>
          <w:trHeight w:val="330"/>
        </w:trPr>
        <w:tc>
          <w:tcPr>
            <w:tcW w:w="168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D589A3D" w14:textId="77777777" w:rsidR="00C15A74" w:rsidRDefault="00000000">
            <w:pPr>
              <w:spacing w:before="240"/>
              <w:ind w:left="20"/>
              <w:rPr>
                <w:color w:val="010205"/>
              </w:rPr>
            </w:pPr>
            <w:r>
              <w:rPr>
                <w:color w:val="010205"/>
              </w:rPr>
              <w:t xml:space="preserve"> </w:t>
            </w:r>
          </w:p>
        </w:tc>
        <w:tc>
          <w:tcPr>
            <w:tcW w:w="1080" w:type="dxa"/>
            <w:tcBorders>
              <w:top w:val="nil"/>
              <w:left w:val="nil"/>
              <w:bottom w:val="single" w:sz="5" w:space="0" w:color="152935"/>
              <w:right w:val="nil"/>
            </w:tcBorders>
            <w:shd w:val="clear" w:color="auto" w:fill="FFFFFF"/>
            <w:tcMar>
              <w:top w:w="0" w:type="dxa"/>
              <w:left w:w="0" w:type="dxa"/>
              <w:bottom w:w="0" w:type="dxa"/>
              <w:right w:w="0" w:type="dxa"/>
            </w:tcMar>
            <w:vAlign w:val="bottom"/>
          </w:tcPr>
          <w:p w14:paraId="6B21CF8E" w14:textId="77777777" w:rsidR="00C15A74" w:rsidRDefault="00000000">
            <w:pPr>
              <w:spacing w:line="349" w:lineRule="auto"/>
              <w:ind w:left="80" w:right="60"/>
              <w:rPr>
                <w:color w:val="264A60"/>
                <w:sz w:val="18"/>
                <w:szCs w:val="18"/>
              </w:rPr>
            </w:pPr>
            <w:r>
              <w:rPr>
                <w:color w:val="264A60"/>
                <w:sz w:val="18"/>
                <w:szCs w:val="18"/>
              </w:rPr>
              <w:t>Sex</w:t>
            </w:r>
          </w:p>
        </w:tc>
        <w:tc>
          <w:tcPr>
            <w:tcW w:w="127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0B2459AC" w14:textId="77777777" w:rsidR="00C15A74" w:rsidRDefault="00000000">
            <w:pPr>
              <w:spacing w:line="349" w:lineRule="auto"/>
              <w:ind w:left="80" w:right="60"/>
              <w:jc w:val="center"/>
              <w:rPr>
                <w:color w:val="264A60"/>
                <w:sz w:val="18"/>
                <w:szCs w:val="18"/>
              </w:rPr>
            </w:pPr>
            <w:r>
              <w:rPr>
                <w:color w:val="264A60"/>
                <w:sz w:val="18"/>
                <w:szCs w:val="18"/>
              </w:rPr>
              <w:t>N</w:t>
            </w:r>
          </w:p>
        </w:tc>
        <w:tc>
          <w:tcPr>
            <w:tcW w:w="136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0C90E24C" w14:textId="77777777" w:rsidR="00C15A74" w:rsidRDefault="00000000">
            <w:pPr>
              <w:spacing w:line="349" w:lineRule="auto"/>
              <w:ind w:left="80" w:right="60"/>
              <w:jc w:val="center"/>
              <w:rPr>
                <w:color w:val="264A60"/>
                <w:sz w:val="18"/>
                <w:szCs w:val="18"/>
              </w:rPr>
            </w:pPr>
            <w:r>
              <w:rPr>
                <w:color w:val="264A60"/>
                <w:sz w:val="18"/>
                <w:szCs w:val="18"/>
              </w:rPr>
              <w:t>Mean</w:t>
            </w:r>
          </w:p>
        </w:tc>
        <w:tc>
          <w:tcPr>
            <w:tcW w:w="180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2D4623AD" w14:textId="77777777" w:rsidR="00C15A74" w:rsidRDefault="00000000">
            <w:pPr>
              <w:spacing w:line="349" w:lineRule="auto"/>
              <w:ind w:left="80" w:right="60"/>
              <w:jc w:val="center"/>
              <w:rPr>
                <w:color w:val="264A60"/>
                <w:sz w:val="18"/>
                <w:szCs w:val="18"/>
              </w:rPr>
            </w:pPr>
            <w:r>
              <w:rPr>
                <w:color w:val="264A60"/>
                <w:sz w:val="18"/>
                <w:szCs w:val="18"/>
              </w:rPr>
              <w:t>Std. Deviation</w:t>
            </w:r>
          </w:p>
        </w:tc>
      </w:tr>
      <w:tr w:rsidR="00C15A74" w14:paraId="5C26A395" w14:textId="77777777">
        <w:trPr>
          <w:trHeight w:val="330"/>
        </w:trPr>
        <w:tc>
          <w:tcPr>
            <w:tcW w:w="1680" w:type="dxa"/>
            <w:vMerge w:val="restart"/>
            <w:tcBorders>
              <w:top w:val="nil"/>
              <w:left w:val="nil"/>
              <w:bottom w:val="nil"/>
              <w:right w:val="nil"/>
            </w:tcBorders>
            <w:shd w:val="clear" w:color="auto" w:fill="E0E0E0"/>
            <w:tcMar>
              <w:top w:w="0" w:type="dxa"/>
              <w:left w:w="0" w:type="dxa"/>
              <w:bottom w:w="0" w:type="dxa"/>
              <w:right w:w="0" w:type="dxa"/>
            </w:tcMar>
          </w:tcPr>
          <w:p w14:paraId="265C4AB8" w14:textId="77777777" w:rsidR="00C15A74" w:rsidRDefault="00000000">
            <w:pPr>
              <w:spacing w:line="349" w:lineRule="auto"/>
              <w:ind w:left="80" w:right="60"/>
              <w:rPr>
                <w:color w:val="264A60"/>
                <w:sz w:val="18"/>
                <w:szCs w:val="18"/>
              </w:rPr>
            </w:pPr>
            <w:r>
              <w:rPr>
                <w:color w:val="264A60"/>
                <w:sz w:val="18"/>
                <w:szCs w:val="18"/>
              </w:rPr>
              <w:t>Burial depth</w:t>
            </w:r>
          </w:p>
        </w:tc>
        <w:tc>
          <w:tcPr>
            <w:tcW w:w="1080" w:type="dxa"/>
            <w:tcBorders>
              <w:top w:val="nil"/>
              <w:left w:val="nil"/>
              <w:bottom w:val="single" w:sz="5" w:space="0" w:color="AEAEAE"/>
              <w:right w:val="nil"/>
            </w:tcBorders>
            <w:shd w:val="clear" w:color="auto" w:fill="E0E0E0"/>
            <w:tcMar>
              <w:top w:w="0" w:type="dxa"/>
              <w:left w:w="0" w:type="dxa"/>
              <w:bottom w:w="0" w:type="dxa"/>
              <w:right w:w="0" w:type="dxa"/>
            </w:tcMar>
          </w:tcPr>
          <w:p w14:paraId="3DAB4CE3" w14:textId="77777777" w:rsidR="00C15A74" w:rsidRDefault="00000000">
            <w:pPr>
              <w:spacing w:line="349" w:lineRule="auto"/>
              <w:ind w:left="80" w:right="60"/>
              <w:rPr>
                <w:color w:val="264A60"/>
                <w:sz w:val="18"/>
                <w:szCs w:val="18"/>
              </w:rPr>
            </w:pPr>
            <w:r>
              <w:rPr>
                <w:color w:val="264A60"/>
                <w:sz w:val="18"/>
                <w:szCs w:val="18"/>
              </w:rPr>
              <w:t>female</w:t>
            </w:r>
          </w:p>
        </w:tc>
        <w:tc>
          <w:tcPr>
            <w:tcW w:w="127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6FB16459" w14:textId="77777777" w:rsidR="00C15A74" w:rsidRDefault="00000000">
            <w:pPr>
              <w:spacing w:line="349" w:lineRule="auto"/>
              <w:ind w:left="80" w:right="60"/>
              <w:jc w:val="right"/>
              <w:rPr>
                <w:color w:val="010205"/>
                <w:sz w:val="18"/>
                <w:szCs w:val="18"/>
              </w:rPr>
            </w:pPr>
            <w:r>
              <w:rPr>
                <w:color w:val="010205"/>
                <w:sz w:val="18"/>
                <w:szCs w:val="18"/>
              </w:rPr>
              <w:t>77</w:t>
            </w:r>
          </w:p>
        </w:tc>
        <w:tc>
          <w:tcPr>
            <w:tcW w:w="136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036399E7" w14:textId="77777777" w:rsidR="00C15A74" w:rsidRDefault="00000000">
            <w:pPr>
              <w:spacing w:line="349" w:lineRule="auto"/>
              <w:ind w:left="80" w:right="60"/>
              <w:jc w:val="right"/>
              <w:rPr>
                <w:color w:val="010205"/>
                <w:sz w:val="18"/>
                <w:szCs w:val="18"/>
              </w:rPr>
            </w:pPr>
            <w:r>
              <w:rPr>
                <w:color w:val="010205"/>
                <w:sz w:val="18"/>
                <w:szCs w:val="18"/>
              </w:rPr>
              <w:t>124.2597</w:t>
            </w:r>
          </w:p>
        </w:tc>
        <w:tc>
          <w:tcPr>
            <w:tcW w:w="1800"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1F13F83B" w14:textId="77777777" w:rsidR="00C15A74" w:rsidRDefault="00000000">
            <w:pPr>
              <w:spacing w:line="349" w:lineRule="auto"/>
              <w:ind w:left="80" w:right="60"/>
              <w:jc w:val="right"/>
              <w:rPr>
                <w:color w:val="010205"/>
                <w:sz w:val="18"/>
                <w:szCs w:val="18"/>
              </w:rPr>
            </w:pPr>
            <w:r>
              <w:rPr>
                <w:color w:val="010205"/>
                <w:sz w:val="18"/>
                <w:szCs w:val="18"/>
              </w:rPr>
              <w:t>23.82469</w:t>
            </w:r>
          </w:p>
        </w:tc>
      </w:tr>
      <w:tr w:rsidR="00C15A74" w14:paraId="32BE0264" w14:textId="77777777">
        <w:trPr>
          <w:trHeight w:val="330"/>
        </w:trPr>
        <w:tc>
          <w:tcPr>
            <w:tcW w:w="1680" w:type="dxa"/>
            <w:vMerge/>
            <w:tcBorders>
              <w:top w:val="nil"/>
              <w:left w:val="nil"/>
              <w:bottom w:val="nil"/>
              <w:right w:val="nil"/>
            </w:tcBorders>
            <w:shd w:val="clear" w:color="auto" w:fill="auto"/>
            <w:tcMar>
              <w:top w:w="100" w:type="dxa"/>
              <w:left w:w="100" w:type="dxa"/>
              <w:bottom w:w="100" w:type="dxa"/>
              <w:right w:w="100" w:type="dxa"/>
            </w:tcMar>
          </w:tcPr>
          <w:p w14:paraId="515E7527" w14:textId="77777777" w:rsidR="00C15A74" w:rsidRDefault="00C15A74">
            <w:pPr>
              <w:spacing w:before="240" w:after="240"/>
              <w:ind w:left="20"/>
            </w:pPr>
          </w:p>
        </w:tc>
        <w:tc>
          <w:tcPr>
            <w:tcW w:w="1080" w:type="dxa"/>
            <w:tcBorders>
              <w:top w:val="nil"/>
              <w:left w:val="nil"/>
              <w:bottom w:val="nil"/>
              <w:right w:val="nil"/>
            </w:tcBorders>
            <w:shd w:val="clear" w:color="auto" w:fill="E0E0E0"/>
            <w:tcMar>
              <w:top w:w="0" w:type="dxa"/>
              <w:left w:w="0" w:type="dxa"/>
              <w:bottom w:w="0" w:type="dxa"/>
              <w:right w:w="0" w:type="dxa"/>
            </w:tcMar>
          </w:tcPr>
          <w:p w14:paraId="2FC133D5" w14:textId="77777777" w:rsidR="00C15A74" w:rsidRDefault="00000000">
            <w:pPr>
              <w:spacing w:line="349" w:lineRule="auto"/>
              <w:ind w:left="80" w:right="60"/>
              <w:rPr>
                <w:color w:val="264A60"/>
                <w:sz w:val="18"/>
                <w:szCs w:val="18"/>
              </w:rPr>
            </w:pPr>
            <w:r>
              <w:rPr>
                <w:color w:val="264A60"/>
                <w:sz w:val="18"/>
                <w:szCs w:val="18"/>
              </w:rPr>
              <w:t>male</w:t>
            </w:r>
          </w:p>
        </w:tc>
        <w:tc>
          <w:tcPr>
            <w:tcW w:w="1275" w:type="dxa"/>
            <w:tcBorders>
              <w:top w:val="nil"/>
              <w:left w:val="nil"/>
              <w:bottom w:val="nil"/>
              <w:right w:val="single" w:sz="5" w:space="0" w:color="E0E0E0"/>
            </w:tcBorders>
            <w:shd w:val="clear" w:color="auto" w:fill="FFFFFF"/>
            <w:tcMar>
              <w:top w:w="0" w:type="dxa"/>
              <w:left w:w="0" w:type="dxa"/>
              <w:bottom w:w="0" w:type="dxa"/>
              <w:right w:w="0" w:type="dxa"/>
            </w:tcMar>
          </w:tcPr>
          <w:p w14:paraId="21EE43FA" w14:textId="77777777" w:rsidR="00C15A74" w:rsidRDefault="00000000">
            <w:pPr>
              <w:spacing w:line="349" w:lineRule="auto"/>
              <w:ind w:left="80" w:right="60"/>
              <w:jc w:val="right"/>
              <w:rPr>
                <w:color w:val="010205"/>
                <w:sz w:val="18"/>
                <w:szCs w:val="18"/>
              </w:rPr>
            </w:pPr>
            <w:r>
              <w:rPr>
                <w:color w:val="010205"/>
                <w:sz w:val="18"/>
                <w:szCs w:val="18"/>
              </w:rPr>
              <w:t>74</w:t>
            </w:r>
          </w:p>
        </w:tc>
        <w:tc>
          <w:tcPr>
            <w:tcW w:w="1365" w:type="dxa"/>
            <w:tcBorders>
              <w:top w:val="nil"/>
              <w:left w:val="nil"/>
              <w:bottom w:val="nil"/>
              <w:right w:val="single" w:sz="5" w:space="0" w:color="E0E0E0"/>
            </w:tcBorders>
            <w:shd w:val="clear" w:color="auto" w:fill="FFFFFF"/>
            <w:tcMar>
              <w:top w:w="0" w:type="dxa"/>
              <w:left w:w="0" w:type="dxa"/>
              <w:bottom w:w="0" w:type="dxa"/>
              <w:right w:w="0" w:type="dxa"/>
            </w:tcMar>
          </w:tcPr>
          <w:p w14:paraId="4CB2A03E" w14:textId="77777777" w:rsidR="00C15A74" w:rsidRDefault="00000000">
            <w:pPr>
              <w:spacing w:line="349" w:lineRule="auto"/>
              <w:ind w:left="80" w:right="60"/>
              <w:jc w:val="right"/>
              <w:rPr>
                <w:color w:val="010205"/>
                <w:sz w:val="18"/>
                <w:szCs w:val="18"/>
              </w:rPr>
            </w:pPr>
            <w:r>
              <w:rPr>
                <w:color w:val="010205"/>
                <w:sz w:val="18"/>
                <w:szCs w:val="18"/>
              </w:rPr>
              <w:t>129.5000</w:t>
            </w:r>
          </w:p>
        </w:tc>
        <w:tc>
          <w:tcPr>
            <w:tcW w:w="1800" w:type="dxa"/>
            <w:tcBorders>
              <w:top w:val="nil"/>
              <w:left w:val="nil"/>
              <w:bottom w:val="nil"/>
              <w:right w:val="single" w:sz="5" w:space="0" w:color="E0E0E0"/>
            </w:tcBorders>
            <w:shd w:val="clear" w:color="auto" w:fill="FFFFFF"/>
            <w:tcMar>
              <w:top w:w="0" w:type="dxa"/>
              <w:left w:w="0" w:type="dxa"/>
              <w:bottom w:w="0" w:type="dxa"/>
              <w:right w:w="0" w:type="dxa"/>
            </w:tcMar>
          </w:tcPr>
          <w:p w14:paraId="7BBA3CDE" w14:textId="77777777" w:rsidR="00C15A74" w:rsidRDefault="00000000">
            <w:pPr>
              <w:spacing w:line="349" w:lineRule="auto"/>
              <w:ind w:left="80" w:right="60"/>
              <w:jc w:val="right"/>
              <w:rPr>
                <w:color w:val="010205"/>
                <w:sz w:val="18"/>
                <w:szCs w:val="18"/>
              </w:rPr>
            </w:pPr>
            <w:r>
              <w:rPr>
                <w:color w:val="010205"/>
                <w:sz w:val="18"/>
                <w:szCs w:val="18"/>
              </w:rPr>
              <w:t>29.62702</w:t>
            </w:r>
          </w:p>
        </w:tc>
      </w:tr>
      <w:tr w:rsidR="00C15A74" w14:paraId="4D7D7589" w14:textId="77777777">
        <w:trPr>
          <w:trHeight w:val="330"/>
        </w:trPr>
        <w:tc>
          <w:tcPr>
            <w:tcW w:w="1680" w:type="dxa"/>
            <w:vMerge w:val="restart"/>
            <w:tcBorders>
              <w:top w:val="single" w:sz="5" w:space="0" w:color="AEAEAE"/>
              <w:left w:val="nil"/>
              <w:bottom w:val="nil"/>
              <w:right w:val="nil"/>
            </w:tcBorders>
            <w:shd w:val="clear" w:color="auto" w:fill="E0E0E0"/>
            <w:tcMar>
              <w:top w:w="0" w:type="dxa"/>
              <w:left w:w="0" w:type="dxa"/>
              <w:bottom w:w="0" w:type="dxa"/>
              <w:right w:w="0" w:type="dxa"/>
            </w:tcMar>
          </w:tcPr>
          <w:p w14:paraId="3E6E85FA" w14:textId="77777777" w:rsidR="00C15A74" w:rsidRDefault="00000000">
            <w:pPr>
              <w:spacing w:line="349" w:lineRule="auto"/>
              <w:ind w:left="80" w:right="60"/>
              <w:rPr>
                <w:color w:val="264A60"/>
                <w:sz w:val="18"/>
                <w:szCs w:val="18"/>
              </w:rPr>
            </w:pPr>
            <w:r>
              <w:rPr>
                <w:color w:val="264A60"/>
                <w:sz w:val="18"/>
                <w:szCs w:val="18"/>
              </w:rPr>
              <w:t>Burila width</w:t>
            </w:r>
          </w:p>
        </w:tc>
        <w:tc>
          <w:tcPr>
            <w:tcW w:w="1080" w:type="dxa"/>
            <w:tcBorders>
              <w:top w:val="single" w:sz="5" w:space="0" w:color="AEAEAE"/>
              <w:left w:val="nil"/>
              <w:bottom w:val="single" w:sz="5" w:space="0" w:color="AEAEAE"/>
              <w:right w:val="nil"/>
            </w:tcBorders>
            <w:shd w:val="clear" w:color="auto" w:fill="E0E0E0"/>
            <w:tcMar>
              <w:top w:w="0" w:type="dxa"/>
              <w:left w:w="0" w:type="dxa"/>
              <w:bottom w:w="0" w:type="dxa"/>
              <w:right w:w="0" w:type="dxa"/>
            </w:tcMar>
          </w:tcPr>
          <w:p w14:paraId="3116A4E2" w14:textId="77777777" w:rsidR="00C15A74" w:rsidRDefault="00000000">
            <w:pPr>
              <w:spacing w:line="349" w:lineRule="auto"/>
              <w:ind w:left="80" w:right="60"/>
              <w:rPr>
                <w:color w:val="264A60"/>
                <w:sz w:val="18"/>
                <w:szCs w:val="18"/>
              </w:rPr>
            </w:pPr>
            <w:r>
              <w:rPr>
                <w:color w:val="264A60"/>
                <w:sz w:val="18"/>
                <w:szCs w:val="18"/>
              </w:rPr>
              <w:t>female</w:t>
            </w:r>
          </w:p>
        </w:tc>
        <w:tc>
          <w:tcPr>
            <w:tcW w:w="127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4CC03C81" w14:textId="77777777" w:rsidR="00C15A74" w:rsidRDefault="00000000">
            <w:pPr>
              <w:spacing w:line="349" w:lineRule="auto"/>
              <w:ind w:left="80" w:right="60"/>
              <w:jc w:val="right"/>
              <w:rPr>
                <w:color w:val="010205"/>
                <w:sz w:val="18"/>
                <w:szCs w:val="18"/>
              </w:rPr>
            </w:pPr>
            <w:r>
              <w:rPr>
                <w:color w:val="010205"/>
                <w:sz w:val="18"/>
                <w:szCs w:val="18"/>
              </w:rPr>
              <w:t>74</w:t>
            </w:r>
          </w:p>
        </w:tc>
        <w:tc>
          <w:tcPr>
            <w:tcW w:w="136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05DE08DE" w14:textId="77777777" w:rsidR="00C15A74" w:rsidRDefault="00000000">
            <w:pPr>
              <w:spacing w:line="349" w:lineRule="auto"/>
              <w:ind w:left="80" w:right="60"/>
              <w:jc w:val="right"/>
              <w:rPr>
                <w:color w:val="010205"/>
                <w:sz w:val="18"/>
                <w:szCs w:val="18"/>
              </w:rPr>
            </w:pPr>
            <w:r>
              <w:rPr>
                <w:color w:val="010205"/>
                <w:sz w:val="18"/>
                <w:szCs w:val="18"/>
              </w:rPr>
              <w:t>94.6216</w:t>
            </w:r>
          </w:p>
        </w:tc>
        <w:tc>
          <w:tcPr>
            <w:tcW w:w="1800"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3206E49F" w14:textId="77777777" w:rsidR="00C15A74" w:rsidRDefault="00000000">
            <w:pPr>
              <w:spacing w:line="349" w:lineRule="auto"/>
              <w:ind w:left="80" w:right="60"/>
              <w:jc w:val="right"/>
              <w:rPr>
                <w:color w:val="010205"/>
                <w:sz w:val="18"/>
                <w:szCs w:val="18"/>
              </w:rPr>
            </w:pPr>
            <w:r>
              <w:rPr>
                <w:color w:val="010205"/>
                <w:sz w:val="18"/>
                <w:szCs w:val="18"/>
              </w:rPr>
              <w:t>18.98933</w:t>
            </w:r>
          </w:p>
        </w:tc>
      </w:tr>
      <w:tr w:rsidR="00C15A74" w14:paraId="5B56F76A" w14:textId="77777777">
        <w:trPr>
          <w:trHeight w:val="330"/>
        </w:trPr>
        <w:tc>
          <w:tcPr>
            <w:tcW w:w="1680" w:type="dxa"/>
            <w:vMerge/>
            <w:tcBorders>
              <w:top w:val="single" w:sz="5" w:space="0" w:color="AEAEAE"/>
              <w:left w:val="nil"/>
              <w:bottom w:val="nil"/>
              <w:right w:val="nil"/>
            </w:tcBorders>
            <w:shd w:val="clear" w:color="auto" w:fill="auto"/>
            <w:tcMar>
              <w:top w:w="100" w:type="dxa"/>
              <w:left w:w="100" w:type="dxa"/>
              <w:bottom w:w="100" w:type="dxa"/>
              <w:right w:w="100" w:type="dxa"/>
            </w:tcMar>
          </w:tcPr>
          <w:p w14:paraId="6112F770" w14:textId="77777777" w:rsidR="00C15A74" w:rsidRDefault="00C15A74">
            <w:pPr>
              <w:spacing w:before="240" w:after="240"/>
              <w:ind w:left="20"/>
            </w:pPr>
          </w:p>
        </w:tc>
        <w:tc>
          <w:tcPr>
            <w:tcW w:w="1080" w:type="dxa"/>
            <w:tcBorders>
              <w:top w:val="nil"/>
              <w:left w:val="nil"/>
              <w:bottom w:val="nil"/>
              <w:right w:val="nil"/>
            </w:tcBorders>
            <w:shd w:val="clear" w:color="auto" w:fill="E0E0E0"/>
            <w:tcMar>
              <w:top w:w="0" w:type="dxa"/>
              <w:left w:w="0" w:type="dxa"/>
              <w:bottom w:w="0" w:type="dxa"/>
              <w:right w:w="0" w:type="dxa"/>
            </w:tcMar>
          </w:tcPr>
          <w:p w14:paraId="2FAB6864" w14:textId="77777777" w:rsidR="00C15A74" w:rsidRDefault="00000000">
            <w:pPr>
              <w:spacing w:line="349" w:lineRule="auto"/>
              <w:ind w:left="80" w:right="60"/>
              <w:rPr>
                <w:color w:val="264A60"/>
                <w:sz w:val="18"/>
                <w:szCs w:val="18"/>
              </w:rPr>
            </w:pPr>
            <w:r>
              <w:rPr>
                <w:color w:val="264A60"/>
                <w:sz w:val="18"/>
                <w:szCs w:val="18"/>
              </w:rPr>
              <w:t>male</w:t>
            </w:r>
          </w:p>
        </w:tc>
        <w:tc>
          <w:tcPr>
            <w:tcW w:w="1275" w:type="dxa"/>
            <w:tcBorders>
              <w:top w:val="nil"/>
              <w:left w:val="nil"/>
              <w:bottom w:val="nil"/>
              <w:right w:val="single" w:sz="5" w:space="0" w:color="E0E0E0"/>
            </w:tcBorders>
            <w:shd w:val="clear" w:color="auto" w:fill="FFFFFF"/>
            <w:tcMar>
              <w:top w:w="0" w:type="dxa"/>
              <w:left w:w="0" w:type="dxa"/>
              <w:bottom w:w="0" w:type="dxa"/>
              <w:right w:w="0" w:type="dxa"/>
            </w:tcMar>
          </w:tcPr>
          <w:p w14:paraId="5DD0A2F6" w14:textId="77777777" w:rsidR="00C15A74" w:rsidRDefault="00000000">
            <w:pPr>
              <w:spacing w:line="349" w:lineRule="auto"/>
              <w:ind w:left="80" w:right="60"/>
              <w:jc w:val="right"/>
              <w:rPr>
                <w:color w:val="010205"/>
                <w:sz w:val="18"/>
                <w:szCs w:val="18"/>
              </w:rPr>
            </w:pPr>
            <w:r>
              <w:rPr>
                <w:color w:val="010205"/>
                <w:sz w:val="18"/>
                <w:szCs w:val="18"/>
              </w:rPr>
              <w:t>63</w:t>
            </w:r>
          </w:p>
        </w:tc>
        <w:tc>
          <w:tcPr>
            <w:tcW w:w="1365" w:type="dxa"/>
            <w:tcBorders>
              <w:top w:val="nil"/>
              <w:left w:val="nil"/>
              <w:bottom w:val="nil"/>
              <w:right w:val="single" w:sz="5" w:space="0" w:color="E0E0E0"/>
            </w:tcBorders>
            <w:shd w:val="clear" w:color="auto" w:fill="FFFFFF"/>
            <w:tcMar>
              <w:top w:w="0" w:type="dxa"/>
              <w:left w:w="0" w:type="dxa"/>
              <w:bottom w:w="0" w:type="dxa"/>
              <w:right w:w="0" w:type="dxa"/>
            </w:tcMar>
          </w:tcPr>
          <w:p w14:paraId="2808A105" w14:textId="77777777" w:rsidR="00C15A74" w:rsidRDefault="00000000">
            <w:pPr>
              <w:spacing w:line="349" w:lineRule="auto"/>
              <w:ind w:left="80" w:right="60"/>
              <w:jc w:val="right"/>
              <w:rPr>
                <w:color w:val="010205"/>
                <w:sz w:val="18"/>
                <w:szCs w:val="18"/>
              </w:rPr>
            </w:pPr>
            <w:r>
              <w:rPr>
                <w:color w:val="010205"/>
                <w:sz w:val="18"/>
                <w:szCs w:val="18"/>
              </w:rPr>
              <w:t>99.4603</w:t>
            </w:r>
          </w:p>
        </w:tc>
        <w:tc>
          <w:tcPr>
            <w:tcW w:w="1800" w:type="dxa"/>
            <w:tcBorders>
              <w:top w:val="nil"/>
              <w:left w:val="nil"/>
              <w:bottom w:val="nil"/>
              <w:right w:val="single" w:sz="5" w:space="0" w:color="E0E0E0"/>
            </w:tcBorders>
            <w:shd w:val="clear" w:color="auto" w:fill="FFFFFF"/>
            <w:tcMar>
              <w:top w:w="0" w:type="dxa"/>
              <w:left w:w="0" w:type="dxa"/>
              <w:bottom w:w="0" w:type="dxa"/>
              <w:right w:w="0" w:type="dxa"/>
            </w:tcMar>
          </w:tcPr>
          <w:p w14:paraId="6E15F4A3" w14:textId="77777777" w:rsidR="00C15A74" w:rsidRDefault="00000000">
            <w:pPr>
              <w:spacing w:line="349" w:lineRule="auto"/>
              <w:ind w:left="80" w:right="60"/>
              <w:jc w:val="right"/>
              <w:rPr>
                <w:color w:val="010205"/>
                <w:sz w:val="18"/>
                <w:szCs w:val="18"/>
              </w:rPr>
            </w:pPr>
            <w:r>
              <w:rPr>
                <w:color w:val="010205"/>
                <w:sz w:val="18"/>
                <w:szCs w:val="18"/>
              </w:rPr>
              <w:t>19.80211</w:t>
            </w:r>
          </w:p>
        </w:tc>
      </w:tr>
      <w:tr w:rsidR="00C15A74" w14:paraId="3F379FFD" w14:textId="77777777">
        <w:trPr>
          <w:trHeight w:val="330"/>
        </w:trPr>
        <w:tc>
          <w:tcPr>
            <w:tcW w:w="1680" w:type="dxa"/>
            <w:vMerge w:val="restart"/>
            <w:tcBorders>
              <w:top w:val="single" w:sz="5" w:space="0" w:color="AEAEAE"/>
              <w:left w:val="nil"/>
              <w:bottom w:val="single" w:sz="5" w:space="0" w:color="152935"/>
              <w:right w:val="nil"/>
            </w:tcBorders>
            <w:shd w:val="clear" w:color="auto" w:fill="E0E0E0"/>
            <w:tcMar>
              <w:top w:w="0" w:type="dxa"/>
              <w:left w:w="0" w:type="dxa"/>
              <w:bottom w:w="0" w:type="dxa"/>
              <w:right w:w="0" w:type="dxa"/>
            </w:tcMar>
          </w:tcPr>
          <w:p w14:paraId="325E946C" w14:textId="77777777" w:rsidR="00C15A74" w:rsidRDefault="00000000">
            <w:pPr>
              <w:spacing w:line="349" w:lineRule="auto"/>
              <w:ind w:left="80" w:right="60"/>
              <w:rPr>
                <w:color w:val="264A60"/>
                <w:sz w:val="18"/>
                <w:szCs w:val="18"/>
              </w:rPr>
            </w:pPr>
            <w:r>
              <w:rPr>
                <w:color w:val="264A60"/>
                <w:sz w:val="18"/>
                <w:szCs w:val="18"/>
              </w:rPr>
              <w:t>Burial length</w:t>
            </w:r>
          </w:p>
        </w:tc>
        <w:tc>
          <w:tcPr>
            <w:tcW w:w="1080" w:type="dxa"/>
            <w:tcBorders>
              <w:top w:val="single" w:sz="5" w:space="0" w:color="AEAEAE"/>
              <w:left w:val="nil"/>
              <w:bottom w:val="single" w:sz="5" w:space="0" w:color="AEAEAE"/>
              <w:right w:val="nil"/>
            </w:tcBorders>
            <w:shd w:val="clear" w:color="auto" w:fill="E0E0E0"/>
            <w:tcMar>
              <w:top w:w="0" w:type="dxa"/>
              <w:left w:w="0" w:type="dxa"/>
              <w:bottom w:w="0" w:type="dxa"/>
              <w:right w:w="0" w:type="dxa"/>
            </w:tcMar>
          </w:tcPr>
          <w:p w14:paraId="7170B0D3" w14:textId="77777777" w:rsidR="00C15A74" w:rsidRDefault="00000000">
            <w:pPr>
              <w:spacing w:line="349" w:lineRule="auto"/>
              <w:ind w:left="80" w:right="60"/>
              <w:rPr>
                <w:color w:val="264A60"/>
                <w:sz w:val="18"/>
                <w:szCs w:val="18"/>
              </w:rPr>
            </w:pPr>
            <w:r>
              <w:rPr>
                <w:color w:val="264A60"/>
                <w:sz w:val="18"/>
                <w:szCs w:val="18"/>
              </w:rPr>
              <w:t>female</w:t>
            </w:r>
          </w:p>
        </w:tc>
        <w:tc>
          <w:tcPr>
            <w:tcW w:w="127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0B3C7455" w14:textId="77777777" w:rsidR="00C15A74" w:rsidRDefault="00000000">
            <w:pPr>
              <w:spacing w:line="349" w:lineRule="auto"/>
              <w:ind w:left="80" w:right="60"/>
              <w:jc w:val="right"/>
              <w:rPr>
                <w:color w:val="010205"/>
                <w:sz w:val="18"/>
                <w:szCs w:val="18"/>
              </w:rPr>
            </w:pPr>
            <w:r>
              <w:rPr>
                <w:color w:val="010205"/>
                <w:sz w:val="18"/>
                <w:szCs w:val="18"/>
              </w:rPr>
              <w:t>74</w:t>
            </w:r>
          </w:p>
        </w:tc>
        <w:tc>
          <w:tcPr>
            <w:tcW w:w="136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2947A717" w14:textId="77777777" w:rsidR="00C15A74" w:rsidRDefault="00000000">
            <w:pPr>
              <w:spacing w:line="349" w:lineRule="auto"/>
              <w:ind w:left="80" w:right="60"/>
              <w:jc w:val="right"/>
              <w:rPr>
                <w:color w:val="010205"/>
                <w:sz w:val="18"/>
                <w:szCs w:val="18"/>
              </w:rPr>
            </w:pPr>
            <w:r>
              <w:rPr>
                <w:color w:val="010205"/>
                <w:sz w:val="18"/>
                <w:szCs w:val="18"/>
              </w:rPr>
              <w:t>130.4324</w:t>
            </w:r>
          </w:p>
        </w:tc>
        <w:tc>
          <w:tcPr>
            <w:tcW w:w="1800"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3CE1D866" w14:textId="77777777" w:rsidR="00C15A74" w:rsidRDefault="00000000">
            <w:pPr>
              <w:spacing w:line="349" w:lineRule="auto"/>
              <w:ind w:left="80" w:right="60"/>
              <w:jc w:val="right"/>
              <w:rPr>
                <w:color w:val="010205"/>
                <w:sz w:val="18"/>
                <w:szCs w:val="18"/>
              </w:rPr>
            </w:pPr>
            <w:r>
              <w:rPr>
                <w:color w:val="010205"/>
                <w:sz w:val="18"/>
                <w:szCs w:val="18"/>
              </w:rPr>
              <w:t>17.26274</w:t>
            </w:r>
          </w:p>
        </w:tc>
      </w:tr>
      <w:tr w:rsidR="00C15A74" w14:paraId="2C97431D" w14:textId="77777777">
        <w:trPr>
          <w:trHeight w:val="330"/>
        </w:trPr>
        <w:tc>
          <w:tcPr>
            <w:tcW w:w="1680" w:type="dxa"/>
            <w:vMerge/>
            <w:tcBorders>
              <w:top w:val="single" w:sz="5" w:space="0" w:color="AEAEAE"/>
              <w:left w:val="nil"/>
              <w:bottom w:val="single" w:sz="5" w:space="0" w:color="152935"/>
              <w:right w:val="nil"/>
            </w:tcBorders>
            <w:shd w:val="clear" w:color="auto" w:fill="auto"/>
            <w:tcMar>
              <w:top w:w="100" w:type="dxa"/>
              <w:left w:w="100" w:type="dxa"/>
              <w:bottom w:w="100" w:type="dxa"/>
              <w:right w:w="100" w:type="dxa"/>
            </w:tcMar>
          </w:tcPr>
          <w:p w14:paraId="54018C11" w14:textId="77777777" w:rsidR="00C15A74" w:rsidRDefault="00C15A74">
            <w:pPr>
              <w:spacing w:before="240" w:after="240"/>
              <w:ind w:left="20"/>
            </w:pPr>
          </w:p>
        </w:tc>
        <w:tc>
          <w:tcPr>
            <w:tcW w:w="1080" w:type="dxa"/>
            <w:tcBorders>
              <w:top w:val="nil"/>
              <w:left w:val="nil"/>
              <w:bottom w:val="single" w:sz="5" w:space="0" w:color="152935"/>
              <w:right w:val="nil"/>
            </w:tcBorders>
            <w:shd w:val="clear" w:color="auto" w:fill="E0E0E0"/>
            <w:tcMar>
              <w:top w:w="0" w:type="dxa"/>
              <w:left w:w="0" w:type="dxa"/>
              <w:bottom w:w="0" w:type="dxa"/>
              <w:right w:w="0" w:type="dxa"/>
            </w:tcMar>
          </w:tcPr>
          <w:p w14:paraId="5A675C3D" w14:textId="77777777" w:rsidR="00C15A74" w:rsidRDefault="00000000">
            <w:pPr>
              <w:spacing w:line="349" w:lineRule="auto"/>
              <w:ind w:left="80" w:right="60"/>
              <w:rPr>
                <w:color w:val="264A60"/>
                <w:sz w:val="18"/>
                <w:szCs w:val="18"/>
              </w:rPr>
            </w:pPr>
            <w:r>
              <w:rPr>
                <w:color w:val="264A60"/>
                <w:sz w:val="18"/>
                <w:szCs w:val="18"/>
              </w:rPr>
              <w:t>male</w:t>
            </w:r>
          </w:p>
        </w:tc>
        <w:tc>
          <w:tcPr>
            <w:tcW w:w="127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4A4A77DC" w14:textId="77777777" w:rsidR="00C15A74" w:rsidRDefault="00000000">
            <w:pPr>
              <w:spacing w:line="349" w:lineRule="auto"/>
              <w:ind w:left="80" w:right="60"/>
              <w:jc w:val="right"/>
              <w:rPr>
                <w:color w:val="010205"/>
                <w:sz w:val="18"/>
                <w:szCs w:val="18"/>
              </w:rPr>
            </w:pPr>
            <w:r>
              <w:rPr>
                <w:color w:val="010205"/>
                <w:sz w:val="18"/>
                <w:szCs w:val="18"/>
              </w:rPr>
              <w:t>64</w:t>
            </w:r>
          </w:p>
        </w:tc>
        <w:tc>
          <w:tcPr>
            <w:tcW w:w="136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25E51BC0" w14:textId="77777777" w:rsidR="00C15A74" w:rsidRDefault="00000000">
            <w:pPr>
              <w:spacing w:line="349" w:lineRule="auto"/>
              <w:ind w:left="80" w:right="60"/>
              <w:jc w:val="right"/>
              <w:rPr>
                <w:color w:val="010205"/>
                <w:sz w:val="18"/>
                <w:szCs w:val="18"/>
              </w:rPr>
            </w:pPr>
            <w:r>
              <w:rPr>
                <w:color w:val="010205"/>
                <w:sz w:val="18"/>
                <w:szCs w:val="18"/>
              </w:rPr>
              <w:t>138.6406</w:t>
            </w:r>
          </w:p>
        </w:tc>
        <w:tc>
          <w:tcPr>
            <w:tcW w:w="180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61664CA5" w14:textId="77777777" w:rsidR="00C15A74" w:rsidRDefault="00000000">
            <w:pPr>
              <w:spacing w:line="349" w:lineRule="auto"/>
              <w:ind w:left="80" w:right="60"/>
              <w:jc w:val="right"/>
              <w:rPr>
                <w:color w:val="010205"/>
                <w:sz w:val="18"/>
                <w:szCs w:val="18"/>
              </w:rPr>
            </w:pPr>
            <w:r>
              <w:rPr>
                <w:color w:val="010205"/>
                <w:sz w:val="18"/>
                <w:szCs w:val="18"/>
              </w:rPr>
              <w:t>21.96922</w:t>
            </w:r>
          </w:p>
        </w:tc>
      </w:tr>
    </w:tbl>
    <w:p w14:paraId="41F67BF6" w14:textId="77777777" w:rsidR="00C15A74" w:rsidRDefault="00000000">
      <w:pPr>
        <w:spacing w:before="240" w:after="240"/>
        <w:rPr>
          <w:i/>
        </w:rPr>
      </w:pPr>
      <w:r>
        <w:rPr>
          <w:rFonts w:ascii="Cambria" w:eastAsia="Cambria" w:hAnsi="Cambria" w:cs="Cambria"/>
          <w:sz w:val="20"/>
          <w:szCs w:val="20"/>
        </w:rPr>
        <w:t xml:space="preserve">Table 5. Descriptive statistics for the burial pit dimensions by sex </w:t>
      </w:r>
      <w:proofErr w:type="gramStart"/>
      <w:r>
        <w:rPr>
          <w:rFonts w:ascii="Cambria" w:eastAsia="Cambria" w:hAnsi="Cambria" w:cs="Cambria"/>
          <w:sz w:val="20"/>
          <w:szCs w:val="20"/>
        </w:rPr>
        <w:t xml:space="preserve">at  </w:t>
      </w:r>
      <w:proofErr w:type="spellStart"/>
      <w:r>
        <w:rPr>
          <w:rFonts w:ascii="Cambria" w:eastAsia="Cambria" w:hAnsi="Cambria" w:cs="Cambria"/>
          <w:sz w:val="20"/>
          <w:szCs w:val="20"/>
        </w:rPr>
        <w:t>Mokrin</w:t>
      </w:r>
      <w:proofErr w:type="spellEnd"/>
      <w:proofErr w:type="gramEnd"/>
      <w:r>
        <w:rPr>
          <w:rFonts w:ascii="Cambria" w:eastAsia="Cambria" w:hAnsi="Cambria" w:cs="Cambria"/>
          <w:sz w:val="20"/>
          <w:szCs w:val="20"/>
        </w:rPr>
        <w:t>.</w:t>
      </w:r>
    </w:p>
    <w:p w14:paraId="27FE70B3" w14:textId="77777777" w:rsidR="00C15A74" w:rsidRDefault="00C15A74">
      <w:pPr>
        <w:spacing w:before="240" w:after="240"/>
        <w:rPr>
          <w:i/>
        </w:rPr>
      </w:pPr>
    </w:p>
    <w:p w14:paraId="67363ED1" w14:textId="77777777" w:rsidR="00C15A74" w:rsidRDefault="00000000">
      <w:pPr>
        <w:spacing w:before="240" w:after="240"/>
        <w:rPr>
          <w:i/>
        </w:rPr>
      </w:pPr>
      <w:r>
        <w:rPr>
          <w:i/>
        </w:rPr>
        <w:t>Ostojićevo</w:t>
      </w:r>
    </w:p>
    <w:p w14:paraId="2714D62F" w14:textId="77777777" w:rsidR="00C15A74" w:rsidRDefault="00C15A74">
      <w:pPr>
        <w:spacing w:before="240" w:after="240"/>
      </w:pPr>
    </w:p>
    <w:p w14:paraId="65697F05"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results of the correspondence analysis of the Ostojićevo data are shown in Figure 6. CA axes 1 and 2 together account for 31% of inertia (CA axis 1, 18.4%; CA axis 2, 15.8%). The CA plot does not show the separation of males and females according to grave goods categories (see Table 6 for the classes of grave goods used in the analysis). </w:t>
      </w:r>
    </w:p>
    <w:p w14:paraId="1B3ADAA1" w14:textId="77777777" w:rsidR="00C15A74" w:rsidRDefault="00000000">
      <w:pPr>
        <w:spacing w:before="240" w:after="240"/>
        <w:rPr>
          <w:i/>
        </w:rPr>
      </w:pPr>
      <w:r>
        <w:rPr>
          <w:i/>
          <w:noProof/>
        </w:rPr>
        <w:lastRenderedPageBreak/>
        <w:drawing>
          <wp:inline distT="114300" distB="114300" distL="114300" distR="114300" wp14:anchorId="03A8D5CA" wp14:editId="7F1E51EA">
            <wp:extent cx="5943600" cy="42545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4254500"/>
                    </a:xfrm>
                    <a:prstGeom prst="rect">
                      <a:avLst/>
                    </a:prstGeom>
                    <a:ln/>
                  </pic:spPr>
                </pic:pic>
              </a:graphicData>
            </a:graphic>
          </wp:inline>
        </w:drawing>
      </w:r>
    </w:p>
    <w:p w14:paraId="3BE216F9" w14:textId="77777777" w:rsidR="00C15A74" w:rsidRDefault="00000000">
      <w:pPr>
        <w:spacing w:before="240" w:after="240"/>
        <w:rPr>
          <w:rFonts w:ascii="Cambria" w:eastAsia="Cambria" w:hAnsi="Cambria" w:cs="Cambria"/>
          <w:sz w:val="20"/>
          <w:szCs w:val="20"/>
        </w:rPr>
      </w:pPr>
      <w:r>
        <w:rPr>
          <w:rFonts w:ascii="Cambria" w:eastAsia="Cambria" w:hAnsi="Cambria" w:cs="Cambria"/>
          <w:sz w:val="20"/>
          <w:szCs w:val="20"/>
        </w:rPr>
        <w:t xml:space="preserve">Figure 6. Results of the correspondence analysis (CA) at </w:t>
      </w:r>
      <w:proofErr w:type="gramStart"/>
      <w:r>
        <w:rPr>
          <w:rFonts w:ascii="Cambria" w:eastAsia="Cambria" w:hAnsi="Cambria" w:cs="Cambria"/>
          <w:sz w:val="20"/>
          <w:szCs w:val="20"/>
        </w:rPr>
        <w:t>Ostojićevo..</w:t>
      </w:r>
      <w:proofErr w:type="gramEnd"/>
      <w:r>
        <w:rPr>
          <w:rFonts w:ascii="Cambria" w:eastAsia="Cambria" w:hAnsi="Cambria" w:cs="Cambria"/>
          <w:sz w:val="20"/>
          <w:szCs w:val="20"/>
        </w:rPr>
        <w:t xml:space="preserve">  Number of individuals in the analysis </w:t>
      </w:r>
      <w:proofErr w:type="gramStart"/>
      <w:r>
        <w:rPr>
          <w:rFonts w:ascii="Cambria" w:eastAsia="Cambria" w:hAnsi="Cambria" w:cs="Cambria"/>
          <w:sz w:val="20"/>
          <w:szCs w:val="20"/>
        </w:rPr>
        <w:t>= ?</w:t>
      </w:r>
      <w:proofErr w:type="gramEnd"/>
      <w:r>
        <w:rPr>
          <w:rFonts w:ascii="Cambria" w:eastAsia="Cambria" w:hAnsi="Cambria" w:cs="Cambria"/>
          <w:sz w:val="20"/>
          <w:szCs w:val="20"/>
        </w:rPr>
        <w:t>?.</w:t>
      </w:r>
    </w:p>
    <w:p w14:paraId="6B98290B"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Looking at associations of individual grave good classes with sex, we can see a similar pattern as 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 a single weapon is found with the male individual, whereas bone and metal needles are only found in female graves, but none of the associations reaches statistical significance (Table 6, Supplementary file S2). </w:t>
      </w:r>
    </w:p>
    <w:p w14:paraId="476B7BFD" w14:textId="77777777" w:rsidR="00C15A74" w:rsidRDefault="00C15A74">
      <w:pPr>
        <w:spacing w:before="240" w:after="240"/>
      </w:pPr>
    </w:p>
    <w:p w14:paraId="01806F75" w14:textId="77777777" w:rsidR="00C15A74" w:rsidRDefault="00C15A74">
      <w:pPr>
        <w:spacing w:before="240" w:after="240"/>
      </w:pPr>
    </w:p>
    <w:tbl>
      <w:tblPr>
        <w:tblStyle w:val="a4"/>
        <w:tblW w:w="78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40"/>
        <w:gridCol w:w="2610"/>
        <w:gridCol w:w="2550"/>
      </w:tblGrid>
      <w:tr w:rsidR="00C15A74" w14:paraId="1E70056D" w14:textId="77777777">
        <w:trPr>
          <w:trHeight w:val="285"/>
        </w:trPr>
        <w:tc>
          <w:tcPr>
            <w:tcW w:w="26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740871D" w14:textId="77777777" w:rsidR="00C15A74" w:rsidRDefault="00000000">
            <w:pPr>
              <w:spacing w:before="240"/>
              <w:rPr>
                <w:rFonts w:ascii="Cambria" w:eastAsia="Cambria" w:hAnsi="Cambria" w:cs="Cambria"/>
              </w:rPr>
            </w:pPr>
            <w:r>
              <w:rPr>
                <w:rFonts w:ascii="Cambria" w:eastAsia="Cambria" w:hAnsi="Cambria" w:cs="Cambria"/>
              </w:rPr>
              <w:t xml:space="preserve"> </w:t>
            </w:r>
          </w:p>
        </w:tc>
        <w:tc>
          <w:tcPr>
            <w:tcW w:w="26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8C3270" w14:textId="77777777" w:rsidR="00C15A74" w:rsidRDefault="00000000">
            <w:pPr>
              <w:spacing w:before="240"/>
              <w:rPr>
                <w:rFonts w:ascii="Cambria" w:eastAsia="Cambria" w:hAnsi="Cambria" w:cs="Cambria"/>
              </w:rPr>
            </w:pPr>
            <w:r>
              <w:rPr>
                <w:rFonts w:ascii="Cambria" w:eastAsia="Cambria" w:hAnsi="Cambria" w:cs="Cambria"/>
              </w:rPr>
              <w:t>Cramer's V</w:t>
            </w:r>
          </w:p>
        </w:tc>
        <w:tc>
          <w:tcPr>
            <w:tcW w:w="25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A77BBE5" w14:textId="77777777" w:rsidR="00C15A74" w:rsidRDefault="00000000">
            <w:pPr>
              <w:spacing w:before="240"/>
              <w:rPr>
                <w:rFonts w:ascii="Cambria" w:eastAsia="Cambria" w:hAnsi="Cambria" w:cs="Cambria"/>
              </w:rPr>
            </w:pPr>
            <w:r>
              <w:rPr>
                <w:rFonts w:ascii="Cambria" w:eastAsia="Cambria" w:hAnsi="Cambria" w:cs="Cambria"/>
              </w:rPr>
              <w:t>Fisher's exact p-value</w:t>
            </w:r>
          </w:p>
        </w:tc>
      </w:tr>
      <w:tr w:rsidR="00C15A74" w14:paraId="7A8B6CC1"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8CFA24" w14:textId="77777777" w:rsidR="00C15A74" w:rsidRDefault="00000000">
            <w:pPr>
              <w:spacing w:before="240"/>
              <w:rPr>
                <w:rFonts w:ascii="Cambria" w:eastAsia="Cambria" w:hAnsi="Cambria" w:cs="Cambria"/>
              </w:rPr>
            </w:pPr>
            <w:r>
              <w:rPr>
                <w:rFonts w:ascii="Cambria" w:eastAsia="Cambria" w:hAnsi="Cambria" w:cs="Cambria"/>
              </w:rPr>
              <w:t>Weapons</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1D65253A" w14:textId="77777777" w:rsidR="00C15A74" w:rsidRDefault="00000000">
            <w:pPr>
              <w:spacing w:before="240"/>
              <w:rPr>
                <w:rFonts w:ascii="Cambria" w:eastAsia="Cambria" w:hAnsi="Cambria" w:cs="Cambria"/>
              </w:rPr>
            </w:pPr>
            <w:r>
              <w:rPr>
                <w:rFonts w:ascii="Cambria" w:eastAsia="Cambria" w:hAnsi="Cambria" w:cs="Cambria"/>
              </w:rPr>
              <w:t>0.164</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4C51D5FF" w14:textId="77777777" w:rsidR="00C15A74" w:rsidRDefault="00000000">
            <w:pPr>
              <w:spacing w:before="240"/>
              <w:rPr>
                <w:rFonts w:ascii="Cambria" w:eastAsia="Cambria" w:hAnsi="Cambria" w:cs="Cambria"/>
              </w:rPr>
            </w:pPr>
            <w:r>
              <w:rPr>
                <w:rFonts w:ascii="Cambria" w:eastAsia="Cambria" w:hAnsi="Cambria" w:cs="Cambria"/>
              </w:rPr>
              <w:t>0.5</w:t>
            </w:r>
          </w:p>
        </w:tc>
      </w:tr>
      <w:tr w:rsidR="00C15A74" w14:paraId="6FC572F1"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D80F24" w14:textId="77777777" w:rsidR="00C15A74" w:rsidRDefault="00000000">
            <w:pPr>
              <w:spacing w:before="240"/>
              <w:rPr>
                <w:rFonts w:ascii="Cambria" w:eastAsia="Cambria" w:hAnsi="Cambria" w:cs="Cambria"/>
              </w:rPr>
            </w:pPr>
            <w:r>
              <w:rPr>
                <w:rFonts w:ascii="Cambria" w:eastAsia="Cambria" w:hAnsi="Cambria" w:cs="Cambria"/>
              </w:rPr>
              <w:t>Head ornament</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68C9A8A0" w14:textId="77777777" w:rsidR="00C15A74" w:rsidRDefault="00000000">
            <w:pPr>
              <w:spacing w:before="240"/>
              <w:rPr>
                <w:rFonts w:ascii="Cambria" w:eastAsia="Cambria" w:hAnsi="Cambria" w:cs="Cambria"/>
              </w:rPr>
            </w:pPr>
            <w:r>
              <w:rPr>
                <w:rFonts w:ascii="Cambria" w:eastAsia="Cambria" w:hAnsi="Cambria" w:cs="Cambria"/>
              </w:rPr>
              <w:t>0.211</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1B56E615" w14:textId="77777777" w:rsidR="00C15A74" w:rsidRDefault="00000000">
            <w:pPr>
              <w:spacing w:before="240"/>
              <w:rPr>
                <w:rFonts w:ascii="Cambria" w:eastAsia="Cambria" w:hAnsi="Cambria" w:cs="Cambria"/>
              </w:rPr>
            </w:pPr>
            <w:r>
              <w:rPr>
                <w:rFonts w:ascii="Cambria" w:eastAsia="Cambria" w:hAnsi="Cambria" w:cs="Cambria"/>
              </w:rPr>
              <w:t>0.165</w:t>
            </w:r>
          </w:p>
        </w:tc>
      </w:tr>
      <w:tr w:rsidR="00C15A74" w14:paraId="5D1E450A"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D7740D" w14:textId="77777777" w:rsidR="00C15A74" w:rsidRDefault="00000000">
            <w:pPr>
              <w:spacing w:before="240"/>
              <w:rPr>
                <w:rFonts w:ascii="Cambria" w:eastAsia="Cambria" w:hAnsi="Cambria" w:cs="Cambria"/>
              </w:rPr>
            </w:pPr>
            <w:r>
              <w:rPr>
                <w:rFonts w:ascii="Cambria" w:eastAsia="Cambria" w:hAnsi="Cambria" w:cs="Cambria"/>
              </w:rPr>
              <w:t>Animal bones</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588BCACC" w14:textId="77777777" w:rsidR="00C15A74" w:rsidRDefault="00000000">
            <w:pPr>
              <w:spacing w:before="240"/>
              <w:rPr>
                <w:rFonts w:ascii="Cambria" w:eastAsia="Cambria" w:hAnsi="Cambria" w:cs="Cambria"/>
              </w:rPr>
            </w:pPr>
            <w:r>
              <w:rPr>
                <w:rFonts w:ascii="Cambria" w:eastAsia="Cambria" w:hAnsi="Cambria" w:cs="Cambria"/>
              </w:rPr>
              <w:t>0</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05EFD72B" w14:textId="77777777" w:rsidR="00C15A74" w:rsidRDefault="00000000">
            <w:pPr>
              <w:spacing w:before="240"/>
              <w:rPr>
                <w:rFonts w:ascii="Cambria" w:eastAsia="Cambria" w:hAnsi="Cambria" w:cs="Cambria"/>
              </w:rPr>
            </w:pPr>
            <w:r>
              <w:rPr>
                <w:rFonts w:ascii="Cambria" w:eastAsia="Cambria" w:hAnsi="Cambria" w:cs="Cambria"/>
              </w:rPr>
              <w:t>0.67</w:t>
            </w:r>
          </w:p>
        </w:tc>
      </w:tr>
      <w:tr w:rsidR="00C15A74" w14:paraId="6EEB1854"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4B8837" w14:textId="77777777" w:rsidR="00C15A74" w:rsidRDefault="00000000">
            <w:pPr>
              <w:spacing w:before="240"/>
              <w:rPr>
                <w:rFonts w:ascii="Cambria" w:eastAsia="Cambria" w:hAnsi="Cambria" w:cs="Cambria"/>
              </w:rPr>
            </w:pPr>
            <w:r>
              <w:rPr>
                <w:rFonts w:ascii="Cambria" w:eastAsia="Cambria" w:hAnsi="Cambria" w:cs="Cambria"/>
              </w:rPr>
              <w:lastRenderedPageBreak/>
              <w:t>Bone needle</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05B5A24A" w14:textId="77777777" w:rsidR="00C15A74" w:rsidRDefault="00000000">
            <w:pPr>
              <w:spacing w:before="240"/>
              <w:rPr>
                <w:rFonts w:ascii="Cambria" w:eastAsia="Cambria" w:hAnsi="Cambria" w:cs="Cambria"/>
              </w:rPr>
            </w:pPr>
            <w:r>
              <w:rPr>
                <w:rFonts w:ascii="Cambria" w:eastAsia="Cambria" w:hAnsi="Cambria" w:cs="Cambria"/>
              </w:rPr>
              <w:t>0.236</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241FB18C" w14:textId="77777777" w:rsidR="00C15A74" w:rsidRDefault="00000000">
            <w:pPr>
              <w:spacing w:before="240"/>
              <w:rPr>
                <w:rFonts w:ascii="Cambria" w:eastAsia="Cambria" w:hAnsi="Cambria" w:cs="Cambria"/>
              </w:rPr>
            </w:pPr>
            <w:r>
              <w:rPr>
                <w:rFonts w:ascii="Cambria" w:eastAsia="Cambria" w:hAnsi="Cambria" w:cs="Cambria"/>
              </w:rPr>
              <w:t>0.243</w:t>
            </w:r>
          </w:p>
        </w:tc>
      </w:tr>
      <w:tr w:rsidR="00C15A74" w14:paraId="5277179A"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1151DD" w14:textId="77777777" w:rsidR="00C15A74" w:rsidRDefault="00000000">
            <w:pPr>
              <w:spacing w:before="240"/>
              <w:rPr>
                <w:rFonts w:ascii="Cambria" w:eastAsia="Cambria" w:hAnsi="Cambria" w:cs="Cambria"/>
              </w:rPr>
            </w:pPr>
            <w:r>
              <w:rPr>
                <w:rFonts w:ascii="Cambria" w:eastAsia="Cambria" w:hAnsi="Cambria" w:cs="Cambria"/>
              </w:rPr>
              <w:t>Metal needle</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4F7E7529" w14:textId="77777777" w:rsidR="00C15A74" w:rsidRDefault="00000000">
            <w:pPr>
              <w:spacing w:before="240"/>
              <w:rPr>
                <w:rFonts w:ascii="Cambria" w:eastAsia="Cambria" w:hAnsi="Cambria" w:cs="Cambria"/>
              </w:rPr>
            </w:pPr>
            <w:r>
              <w:rPr>
                <w:rFonts w:ascii="Cambria" w:eastAsia="Cambria" w:hAnsi="Cambria" w:cs="Cambria"/>
              </w:rPr>
              <w:t>0.164</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4161729F" w14:textId="77777777" w:rsidR="00C15A74" w:rsidRDefault="00000000">
            <w:pPr>
              <w:spacing w:before="240"/>
              <w:rPr>
                <w:rFonts w:ascii="Cambria" w:eastAsia="Cambria" w:hAnsi="Cambria" w:cs="Cambria"/>
              </w:rPr>
            </w:pPr>
            <w:r>
              <w:rPr>
                <w:rFonts w:ascii="Cambria" w:eastAsia="Cambria" w:hAnsi="Cambria" w:cs="Cambria"/>
              </w:rPr>
              <w:t>0.5</w:t>
            </w:r>
          </w:p>
        </w:tc>
      </w:tr>
      <w:tr w:rsidR="00C15A74" w14:paraId="0E4D896E"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D1409E" w14:textId="77777777" w:rsidR="00C15A74" w:rsidRDefault="00000000">
            <w:pPr>
              <w:spacing w:before="240"/>
              <w:rPr>
                <w:rFonts w:ascii="Cambria" w:eastAsia="Cambria" w:hAnsi="Cambria" w:cs="Cambria"/>
              </w:rPr>
            </w:pPr>
            <w:r>
              <w:rPr>
                <w:rFonts w:ascii="Cambria" w:eastAsia="Cambria" w:hAnsi="Cambria" w:cs="Cambria"/>
              </w:rPr>
              <w:t>Gold</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1FA8C6CA" w14:textId="77777777" w:rsidR="00C15A74" w:rsidRDefault="00000000">
            <w:pPr>
              <w:spacing w:before="240"/>
              <w:rPr>
                <w:rFonts w:ascii="Cambria" w:eastAsia="Cambria" w:hAnsi="Cambria" w:cs="Cambria"/>
              </w:rPr>
            </w:pPr>
            <w:r>
              <w:rPr>
                <w:rFonts w:ascii="Cambria" w:eastAsia="Cambria" w:hAnsi="Cambria" w:cs="Cambria"/>
              </w:rPr>
              <w:t>absent in Ostojićevo</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28DF019C" w14:textId="77777777" w:rsidR="00C15A74" w:rsidRDefault="00000000">
            <w:pPr>
              <w:spacing w:before="240"/>
              <w:rPr>
                <w:rFonts w:ascii="Cambria" w:eastAsia="Cambria" w:hAnsi="Cambria" w:cs="Cambria"/>
              </w:rPr>
            </w:pPr>
            <w:r>
              <w:rPr>
                <w:rFonts w:ascii="Cambria" w:eastAsia="Cambria" w:hAnsi="Cambria" w:cs="Cambria"/>
              </w:rPr>
              <w:t>absent in Ostojićevo</w:t>
            </w:r>
          </w:p>
        </w:tc>
      </w:tr>
      <w:tr w:rsidR="00C15A74" w14:paraId="21648C47"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9DE693" w14:textId="77777777" w:rsidR="00C15A74" w:rsidRDefault="00000000">
            <w:pPr>
              <w:spacing w:before="240"/>
              <w:rPr>
                <w:rFonts w:ascii="Cambria" w:eastAsia="Cambria" w:hAnsi="Cambria" w:cs="Cambria"/>
              </w:rPr>
            </w:pPr>
            <w:r>
              <w:rPr>
                <w:rFonts w:ascii="Cambria" w:eastAsia="Cambria" w:hAnsi="Cambria" w:cs="Cambria"/>
              </w:rPr>
              <w:t>Hair ring</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77A37648" w14:textId="77777777" w:rsidR="00C15A74" w:rsidRDefault="00000000">
            <w:pPr>
              <w:spacing w:before="240"/>
              <w:rPr>
                <w:rFonts w:ascii="Cambria" w:eastAsia="Cambria" w:hAnsi="Cambria" w:cs="Cambria"/>
              </w:rPr>
            </w:pPr>
            <w:r>
              <w:rPr>
                <w:rFonts w:ascii="Cambria" w:eastAsia="Cambria" w:hAnsi="Cambria" w:cs="Cambria"/>
              </w:rPr>
              <w:t>0.098</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54FDA30A" w14:textId="77777777" w:rsidR="00C15A74" w:rsidRDefault="00000000">
            <w:pPr>
              <w:spacing w:before="240"/>
              <w:rPr>
                <w:rFonts w:ascii="Cambria" w:eastAsia="Cambria" w:hAnsi="Cambria" w:cs="Cambria"/>
              </w:rPr>
            </w:pPr>
            <w:r>
              <w:rPr>
                <w:rFonts w:ascii="Cambria" w:eastAsia="Cambria" w:hAnsi="Cambria" w:cs="Cambria"/>
              </w:rPr>
              <w:t>0.5</w:t>
            </w:r>
          </w:p>
        </w:tc>
      </w:tr>
      <w:tr w:rsidR="00C15A74" w14:paraId="09FFD3D3"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664ADF" w14:textId="77777777" w:rsidR="00C15A74" w:rsidRDefault="00000000">
            <w:pPr>
              <w:spacing w:before="240"/>
              <w:rPr>
                <w:rFonts w:ascii="Cambria" w:eastAsia="Cambria" w:hAnsi="Cambria" w:cs="Cambria"/>
              </w:rPr>
            </w:pPr>
            <w:r>
              <w:rPr>
                <w:rFonts w:ascii="Cambria" w:eastAsia="Cambria" w:hAnsi="Cambria" w:cs="Cambria"/>
              </w:rPr>
              <w:t>Pottery</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54532700" w14:textId="77777777" w:rsidR="00C15A74" w:rsidRDefault="00000000">
            <w:pPr>
              <w:spacing w:before="240"/>
              <w:rPr>
                <w:rFonts w:ascii="Cambria" w:eastAsia="Cambria" w:hAnsi="Cambria" w:cs="Cambria"/>
              </w:rPr>
            </w:pPr>
            <w:r>
              <w:rPr>
                <w:rFonts w:ascii="Cambria" w:eastAsia="Cambria" w:hAnsi="Cambria" w:cs="Cambria"/>
              </w:rPr>
              <w:t>0.234</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150C0A9D" w14:textId="77777777" w:rsidR="00C15A74" w:rsidRDefault="00000000">
            <w:pPr>
              <w:spacing w:before="240"/>
              <w:rPr>
                <w:rFonts w:ascii="Cambria" w:eastAsia="Cambria" w:hAnsi="Cambria" w:cs="Cambria"/>
              </w:rPr>
            </w:pPr>
            <w:r>
              <w:rPr>
                <w:rFonts w:ascii="Cambria" w:eastAsia="Cambria" w:hAnsi="Cambria" w:cs="Cambria"/>
              </w:rPr>
              <w:t>0.17</w:t>
            </w:r>
          </w:p>
        </w:tc>
      </w:tr>
      <w:tr w:rsidR="00C15A74" w14:paraId="54EE73D8"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6DEE44" w14:textId="77777777" w:rsidR="00C15A74" w:rsidRDefault="00000000">
            <w:pPr>
              <w:spacing w:before="240"/>
              <w:rPr>
                <w:rFonts w:ascii="Cambria" w:eastAsia="Cambria" w:hAnsi="Cambria" w:cs="Cambria"/>
              </w:rPr>
            </w:pPr>
            <w:r>
              <w:rPr>
                <w:rFonts w:ascii="Cambria" w:eastAsia="Cambria" w:hAnsi="Cambria" w:cs="Cambria"/>
              </w:rPr>
              <w:t>Single shells</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325A6B6A" w14:textId="77777777" w:rsidR="00C15A74" w:rsidRDefault="00000000">
            <w:pPr>
              <w:spacing w:before="240"/>
              <w:rPr>
                <w:rFonts w:ascii="Cambria" w:eastAsia="Cambria" w:hAnsi="Cambria" w:cs="Cambria"/>
              </w:rPr>
            </w:pPr>
            <w:r>
              <w:rPr>
                <w:rFonts w:ascii="Cambria" w:eastAsia="Cambria" w:hAnsi="Cambria" w:cs="Cambria"/>
              </w:rPr>
              <w:t>0.164</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51D78AA3" w14:textId="77777777" w:rsidR="00C15A74" w:rsidRDefault="00000000">
            <w:pPr>
              <w:spacing w:before="240"/>
              <w:rPr>
                <w:rFonts w:ascii="Cambria" w:eastAsia="Cambria" w:hAnsi="Cambria" w:cs="Cambria"/>
              </w:rPr>
            </w:pPr>
            <w:r>
              <w:rPr>
                <w:rFonts w:ascii="Cambria" w:eastAsia="Cambria" w:hAnsi="Cambria" w:cs="Cambria"/>
              </w:rPr>
              <w:t>0.5</w:t>
            </w:r>
          </w:p>
        </w:tc>
      </w:tr>
      <w:tr w:rsidR="00C15A74" w14:paraId="1675DA44"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DEFD22" w14:textId="77777777" w:rsidR="00C15A74" w:rsidRDefault="00000000">
            <w:pPr>
              <w:spacing w:before="240"/>
              <w:rPr>
                <w:rFonts w:ascii="Cambria" w:eastAsia="Cambria" w:hAnsi="Cambria" w:cs="Cambria"/>
              </w:rPr>
            </w:pPr>
            <w:r>
              <w:rPr>
                <w:rFonts w:ascii="Cambria" w:eastAsia="Cambria" w:hAnsi="Cambria" w:cs="Cambria"/>
              </w:rPr>
              <w:t>Necklace</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37A1EF1F" w14:textId="77777777" w:rsidR="00C15A74" w:rsidRDefault="00000000">
            <w:pPr>
              <w:spacing w:before="240"/>
              <w:rPr>
                <w:rFonts w:ascii="Cambria" w:eastAsia="Cambria" w:hAnsi="Cambria" w:cs="Cambria"/>
              </w:rPr>
            </w:pPr>
            <w:r>
              <w:rPr>
                <w:rFonts w:ascii="Cambria" w:eastAsia="Cambria" w:hAnsi="Cambria" w:cs="Cambria"/>
              </w:rPr>
              <w:t>0.078</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5A5F5612" w14:textId="77777777" w:rsidR="00C15A74" w:rsidRDefault="00000000">
            <w:pPr>
              <w:spacing w:before="240"/>
              <w:rPr>
                <w:rFonts w:ascii="Cambria" w:eastAsia="Cambria" w:hAnsi="Cambria" w:cs="Cambria"/>
              </w:rPr>
            </w:pPr>
            <w:r>
              <w:rPr>
                <w:rFonts w:ascii="Cambria" w:eastAsia="Cambria" w:hAnsi="Cambria" w:cs="Cambria"/>
              </w:rPr>
              <w:t>0.5</w:t>
            </w:r>
          </w:p>
        </w:tc>
      </w:tr>
      <w:tr w:rsidR="00C15A74" w14:paraId="6CBDE91D"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43217E" w14:textId="77777777" w:rsidR="00C15A74" w:rsidRDefault="00000000">
            <w:pPr>
              <w:spacing w:before="240"/>
              <w:rPr>
                <w:rFonts w:ascii="Cambria" w:eastAsia="Cambria" w:hAnsi="Cambria" w:cs="Cambria"/>
              </w:rPr>
            </w:pPr>
            <w:r>
              <w:rPr>
                <w:rFonts w:ascii="Cambria" w:eastAsia="Cambria" w:hAnsi="Cambria" w:cs="Cambria"/>
              </w:rPr>
              <w:t>Sash</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2468C0DB" w14:textId="77777777" w:rsidR="00C15A74" w:rsidRDefault="00000000">
            <w:pPr>
              <w:spacing w:before="240"/>
              <w:rPr>
                <w:rFonts w:ascii="Cambria" w:eastAsia="Cambria" w:hAnsi="Cambria" w:cs="Cambria"/>
              </w:rPr>
            </w:pPr>
            <w:r>
              <w:rPr>
                <w:rFonts w:ascii="Cambria" w:eastAsia="Cambria" w:hAnsi="Cambria" w:cs="Cambria"/>
              </w:rPr>
              <w:t>0.098</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61BB627B" w14:textId="77777777" w:rsidR="00C15A74" w:rsidRDefault="00000000">
            <w:pPr>
              <w:spacing w:before="240"/>
              <w:rPr>
                <w:rFonts w:ascii="Cambria" w:eastAsia="Cambria" w:hAnsi="Cambria" w:cs="Cambria"/>
              </w:rPr>
            </w:pPr>
            <w:r>
              <w:rPr>
                <w:rFonts w:ascii="Cambria" w:eastAsia="Cambria" w:hAnsi="Cambria" w:cs="Cambria"/>
              </w:rPr>
              <w:t>0.5</w:t>
            </w:r>
          </w:p>
        </w:tc>
      </w:tr>
      <w:tr w:rsidR="00C15A74" w14:paraId="15150481" w14:textId="77777777">
        <w:trPr>
          <w:trHeight w:val="285"/>
        </w:trPr>
        <w:tc>
          <w:tcPr>
            <w:tcW w:w="26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A4F4F8" w14:textId="77777777" w:rsidR="00C15A74" w:rsidRDefault="00000000">
            <w:pPr>
              <w:spacing w:before="240"/>
              <w:rPr>
                <w:rFonts w:ascii="Cambria" w:eastAsia="Cambria" w:hAnsi="Cambria" w:cs="Cambria"/>
              </w:rPr>
            </w:pPr>
            <w:r>
              <w:rPr>
                <w:rFonts w:ascii="Cambria" w:eastAsia="Cambria" w:hAnsi="Cambria" w:cs="Cambria"/>
              </w:rPr>
              <w:t>Bracelet</w:t>
            </w:r>
          </w:p>
        </w:tc>
        <w:tc>
          <w:tcPr>
            <w:tcW w:w="2610" w:type="dxa"/>
            <w:tcBorders>
              <w:top w:val="nil"/>
              <w:left w:val="nil"/>
              <w:bottom w:val="single" w:sz="5" w:space="0" w:color="000000"/>
              <w:right w:val="single" w:sz="5" w:space="0" w:color="000000"/>
            </w:tcBorders>
            <w:tcMar>
              <w:top w:w="0" w:type="dxa"/>
              <w:left w:w="100" w:type="dxa"/>
              <w:bottom w:w="0" w:type="dxa"/>
              <w:right w:w="100" w:type="dxa"/>
            </w:tcMar>
          </w:tcPr>
          <w:p w14:paraId="6F56BC9C" w14:textId="77777777" w:rsidR="00C15A74" w:rsidRDefault="00000000">
            <w:pPr>
              <w:spacing w:before="240"/>
              <w:rPr>
                <w:rFonts w:ascii="Cambria" w:eastAsia="Cambria" w:hAnsi="Cambria" w:cs="Cambria"/>
              </w:rPr>
            </w:pPr>
            <w:r>
              <w:rPr>
                <w:rFonts w:ascii="Cambria" w:eastAsia="Cambria" w:hAnsi="Cambria" w:cs="Cambria"/>
              </w:rPr>
              <w:t>0</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6D8EA9CD" w14:textId="77777777" w:rsidR="00C15A74" w:rsidRDefault="00000000">
            <w:pPr>
              <w:spacing w:before="240"/>
              <w:rPr>
                <w:rFonts w:ascii="Cambria" w:eastAsia="Cambria" w:hAnsi="Cambria" w:cs="Cambria"/>
              </w:rPr>
            </w:pPr>
            <w:r>
              <w:rPr>
                <w:rFonts w:ascii="Cambria" w:eastAsia="Cambria" w:hAnsi="Cambria" w:cs="Cambria"/>
              </w:rPr>
              <w:t>0.757</w:t>
            </w:r>
          </w:p>
        </w:tc>
      </w:tr>
    </w:tbl>
    <w:p w14:paraId="625A730C" w14:textId="77777777" w:rsidR="00C15A74" w:rsidRDefault="00000000">
      <w:pPr>
        <w:spacing w:before="240" w:after="240"/>
        <w:jc w:val="both"/>
        <w:rPr>
          <w:rFonts w:ascii="Cambria" w:eastAsia="Cambria" w:hAnsi="Cambria" w:cs="Cambria"/>
          <w:sz w:val="20"/>
          <w:szCs w:val="20"/>
        </w:rPr>
      </w:pPr>
      <w:r>
        <w:rPr>
          <w:rFonts w:ascii="Cambria" w:eastAsia="Cambria" w:hAnsi="Cambria" w:cs="Cambria"/>
          <w:sz w:val="20"/>
          <w:szCs w:val="20"/>
        </w:rPr>
        <w:t xml:space="preserve">Table 6. Summary of Cramer’s V coefficients and </w:t>
      </w:r>
      <w:r>
        <w:rPr>
          <w:rFonts w:ascii="Cambria" w:eastAsia="Cambria" w:hAnsi="Cambria" w:cs="Cambria"/>
          <w:i/>
          <w:sz w:val="20"/>
          <w:szCs w:val="20"/>
        </w:rPr>
        <w:t>p</w:t>
      </w:r>
      <w:r>
        <w:rPr>
          <w:rFonts w:ascii="Cambria" w:eastAsia="Cambria" w:hAnsi="Cambria" w:cs="Cambria"/>
          <w:sz w:val="20"/>
          <w:szCs w:val="20"/>
        </w:rPr>
        <w:t xml:space="preserve"> values based on Fisher’s exact test for the association between each grave good class and sex in Ostojićevo. Grave good classes for which Fisher’s test is significant at the 0.05 level are in boldface.</w:t>
      </w:r>
    </w:p>
    <w:p w14:paraId="42FC7750" w14:textId="77777777" w:rsidR="00C15A74" w:rsidRDefault="00C15A74">
      <w:pPr>
        <w:spacing w:before="240" w:after="240"/>
      </w:pPr>
    </w:p>
    <w:p w14:paraId="6A7A1DBD" w14:textId="77777777" w:rsidR="00C15A74" w:rsidRDefault="00000000">
      <w:pPr>
        <w:spacing w:before="240" w:after="240"/>
        <w:jc w:val="both"/>
      </w:pPr>
      <w:r>
        <w:rPr>
          <w:rFonts w:ascii="Cambria" w:eastAsia="Cambria" w:hAnsi="Cambria" w:cs="Cambria"/>
          <w:sz w:val="24"/>
          <w:szCs w:val="24"/>
        </w:rPr>
        <w:t>Random forest regression results suggest that average accuracy of the model in predicting sex is 57.89% (Table 7). Accuracy for females is 63% and accuracy for males is 53%. In summary, the information regarding grave good categories does not help in predicting sex, as we would do almost equally well by tossing a coin. The most important grave good classes for making the predictions based on the random forest regression models are head ornaments and bone needles (Figure 7). Head ornaments are present more often in male graves, whereas bone needles are present more often in female graves (Supplementary File S2), but neither of these patterns reaches statistical significance, so this is most probably a spurious result.</w:t>
      </w:r>
    </w:p>
    <w:tbl>
      <w:tblPr>
        <w:tblStyle w:val="a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55"/>
      </w:tblGrid>
      <w:tr w:rsidR="00C15A74" w14:paraId="1AD5C9BE" w14:textId="77777777">
        <w:trPr>
          <w:trHeight w:val="285"/>
        </w:trPr>
        <w:tc>
          <w:tcPr>
            <w:tcW w:w="29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9D3C827" w14:textId="77777777" w:rsidR="00C15A74" w:rsidRDefault="00000000">
            <w:pPr>
              <w:spacing w:before="240"/>
              <w:rPr>
                <w:rFonts w:ascii="Cambria" w:eastAsia="Cambria" w:hAnsi="Cambria" w:cs="Cambria"/>
              </w:rPr>
            </w:pPr>
            <w:r>
              <w:rPr>
                <w:rFonts w:ascii="Cambria" w:eastAsia="Cambria" w:hAnsi="Cambria" w:cs="Cambria"/>
              </w:rPr>
              <w:t xml:space="preserve"> </w:t>
            </w:r>
          </w:p>
        </w:tc>
        <w:tc>
          <w:tcPr>
            <w:tcW w:w="29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B280F7" w14:textId="77777777" w:rsidR="00C15A74" w:rsidRDefault="00000000">
            <w:pPr>
              <w:spacing w:before="240"/>
              <w:rPr>
                <w:rFonts w:ascii="Cambria" w:eastAsia="Cambria" w:hAnsi="Cambria" w:cs="Cambria"/>
              </w:rPr>
            </w:pPr>
            <w:r>
              <w:rPr>
                <w:rFonts w:ascii="Cambria" w:eastAsia="Cambria" w:hAnsi="Cambria" w:cs="Cambria"/>
              </w:rPr>
              <w:t>Predicted N of females</w:t>
            </w:r>
          </w:p>
        </w:tc>
        <w:tc>
          <w:tcPr>
            <w:tcW w:w="29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70A8D26" w14:textId="77777777" w:rsidR="00C15A74" w:rsidRDefault="00000000">
            <w:pPr>
              <w:spacing w:before="240"/>
              <w:rPr>
                <w:rFonts w:ascii="Cambria" w:eastAsia="Cambria" w:hAnsi="Cambria" w:cs="Cambria"/>
              </w:rPr>
            </w:pPr>
            <w:r>
              <w:rPr>
                <w:rFonts w:ascii="Cambria" w:eastAsia="Cambria" w:hAnsi="Cambria" w:cs="Cambria"/>
              </w:rPr>
              <w:t>Predicted N of males</w:t>
            </w:r>
          </w:p>
        </w:tc>
      </w:tr>
      <w:tr w:rsidR="00C15A74" w14:paraId="2CD17180" w14:textId="77777777">
        <w:trPr>
          <w:trHeight w:val="285"/>
        </w:trPr>
        <w:tc>
          <w:tcPr>
            <w:tcW w:w="2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A936D2" w14:textId="77777777" w:rsidR="00C15A74" w:rsidRDefault="00000000">
            <w:pPr>
              <w:spacing w:before="240"/>
              <w:rPr>
                <w:rFonts w:ascii="Cambria" w:eastAsia="Cambria" w:hAnsi="Cambria" w:cs="Cambria"/>
              </w:rPr>
            </w:pPr>
            <w:r>
              <w:rPr>
                <w:rFonts w:ascii="Cambria" w:eastAsia="Cambria" w:hAnsi="Cambria" w:cs="Cambria"/>
              </w:rPr>
              <w:t>Observed N of females</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74A8E3FD" w14:textId="77777777" w:rsidR="00C15A74" w:rsidRDefault="00000000">
            <w:pPr>
              <w:spacing w:before="240"/>
              <w:rPr>
                <w:rFonts w:ascii="Cambria" w:eastAsia="Cambria" w:hAnsi="Cambria" w:cs="Cambria"/>
              </w:rPr>
            </w:pPr>
            <w:r>
              <w:rPr>
                <w:rFonts w:ascii="Cambria" w:eastAsia="Cambria" w:hAnsi="Cambria" w:cs="Cambria"/>
              </w:rPr>
              <w:t>12</w:t>
            </w:r>
          </w:p>
        </w:tc>
        <w:tc>
          <w:tcPr>
            <w:tcW w:w="2955" w:type="dxa"/>
            <w:tcBorders>
              <w:top w:val="nil"/>
              <w:left w:val="nil"/>
              <w:bottom w:val="single" w:sz="5" w:space="0" w:color="000000"/>
              <w:right w:val="single" w:sz="5" w:space="0" w:color="000000"/>
            </w:tcBorders>
            <w:tcMar>
              <w:top w:w="0" w:type="dxa"/>
              <w:left w:w="100" w:type="dxa"/>
              <w:bottom w:w="0" w:type="dxa"/>
              <w:right w:w="100" w:type="dxa"/>
            </w:tcMar>
          </w:tcPr>
          <w:p w14:paraId="0E3F489D" w14:textId="77777777" w:rsidR="00C15A74" w:rsidRDefault="00000000">
            <w:pPr>
              <w:spacing w:before="240"/>
              <w:rPr>
                <w:rFonts w:ascii="Cambria" w:eastAsia="Cambria" w:hAnsi="Cambria" w:cs="Cambria"/>
              </w:rPr>
            </w:pPr>
            <w:r>
              <w:rPr>
                <w:rFonts w:ascii="Cambria" w:eastAsia="Cambria" w:hAnsi="Cambria" w:cs="Cambria"/>
              </w:rPr>
              <w:t>7</w:t>
            </w:r>
          </w:p>
        </w:tc>
      </w:tr>
      <w:tr w:rsidR="00C15A74" w14:paraId="7D739250" w14:textId="77777777">
        <w:trPr>
          <w:trHeight w:val="285"/>
        </w:trPr>
        <w:tc>
          <w:tcPr>
            <w:tcW w:w="2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FBF365" w14:textId="77777777" w:rsidR="00C15A74" w:rsidRDefault="00000000">
            <w:pPr>
              <w:spacing w:before="240"/>
              <w:rPr>
                <w:rFonts w:ascii="Cambria" w:eastAsia="Cambria" w:hAnsi="Cambria" w:cs="Cambria"/>
              </w:rPr>
            </w:pPr>
            <w:r>
              <w:rPr>
                <w:rFonts w:ascii="Cambria" w:eastAsia="Cambria" w:hAnsi="Cambria" w:cs="Cambria"/>
              </w:rPr>
              <w:t>Observed N of males</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51B556DC" w14:textId="77777777" w:rsidR="00C15A74" w:rsidRDefault="00000000">
            <w:pPr>
              <w:spacing w:before="240"/>
              <w:rPr>
                <w:rFonts w:ascii="Cambria" w:eastAsia="Cambria" w:hAnsi="Cambria" w:cs="Cambria"/>
              </w:rPr>
            </w:pPr>
            <w:r>
              <w:rPr>
                <w:rFonts w:ascii="Cambria" w:eastAsia="Cambria" w:hAnsi="Cambria" w:cs="Cambria"/>
              </w:rPr>
              <w:t>9</w:t>
            </w:r>
          </w:p>
        </w:tc>
        <w:tc>
          <w:tcPr>
            <w:tcW w:w="2955" w:type="dxa"/>
            <w:tcBorders>
              <w:top w:val="nil"/>
              <w:left w:val="nil"/>
              <w:bottom w:val="single" w:sz="5" w:space="0" w:color="000000"/>
              <w:right w:val="single" w:sz="5" w:space="0" w:color="000000"/>
            </w:tcBorders>
            <w:tcMar>
              <w:top w:w="0" w:type="dxa"/>
              <w:left w:w="100" w:type="dxa"/>
              <w:bottom w:w="0" w:type="dxa"/>
              <w:right w:w="100" w:type="dxa"/>
            </w:tcMar>
          </w:tcPr>
          <w:p w14:paraId="34D228CA" w14:textId="77777777" w:rsidR="00C15A74" w:rsidRDefault="00000000">
            <w:pPr>
              <w:spacing w:before="240"/>
              <w:rPr>
                <w:rFonts w:ascii="Cambria" w:eastAsia="Cambria" w:hAnsi="Cambria" w:cs="Cambria"/>
              </w:rPr>
            </w:pPr>
            <w:r>
              <w:rPr>
                <w:rFonts w:ascii="Cambria" w:eastAsia="Cambria" w:hAnsi="Cambria" w:cs="Cambria"/>
              </w:rPr>
              <w:t>10</w:t>
            </w:r>
          </w:p>
        </w:tc>
      </w:tr>
    </w:tbl>
    <w:p w14:paraId="55C10B76" w14:textId="77777777" w:rsidR="00C15A74" w:rsidRDefault="00000000">
      <w:pPr>
        <w:spacing w:before="240" w:after="240"/>
        <w:jc w:val="both"/>
        <w:rPr>
          <w:rFonts w:ascii="Cambria" w:eastAsia="Cambria" w:hAnsi="Cambria" w:cs="Cambria"/>
          <w:sz w:val="20"/>
          <w:szCs w:val="20"/>
        </w:rPr>
      </w:pPr>
      <w:r>
        <w:rPr>
          <w:rFonts w:ascii="Cambria" w:eastAsia="Cambria" w:hAnsi="Cambria" w:cs="Cambria"/>
          <w:sz w:val="20"/>
          <w:szCs w:val="20"/>
        </w:rPr>
        <w:t xml:space="preserve">Table 7. Observed and predicted sex membership in Ostojićevo based on the random forest regression with sex as the outcome, and grave good class presence as predictor variables. </w:t>
      </w:r>
    </w:p>
    <w:p w14:paraId="69E18635" w14:textId="77777777" w:rsidR="00C15A74" w:rsidRDefault="00C15A74">
      <w:pPr>
        <w:spacing w:before="240" w:after="240"/>
      </w:pPr>
    </w:p>
    <w:p w14:paraId="0BE67F04" w14:textId="77777777" w:rsidR="00C15A74" w:rsidRDefault="00C15A74">
      <w:pPr>
        <w:spacing w:before="240" w:after="240"/>
      </w:pPr>
    </w:p>
    <w:p w14:paraId="24A3752D" w14:textId="77777777" w:rsidR="00C15A74" w:rsidRDefault="00C15A74">
      <w:pPr>
        <w:spacing w:before="240" w:after="240"/>
      </w:pPr>
    </w:p>
    <w:p w14:paraId="2DD30615" w14:textId="77777777" w:rsidR="00C15A74" w:rsidRDefault="00000000">
      <w:pPr>
        <w:spacing w:before="240" w:after="240"/>
        <w:rPr>
          <w:i/>
        </w:rPr>
      </w:pPr>
      <w:r>
        <w:rPr>
          <w:i/>
          <w:noProof/>
        </w:rPr>
        <w:drawing>
          <wp:inline distT="114300" distB="114300" distL="114300" distR="114300" wp14:anchorId="49396C4D" wp14:editId="3AFCAE33">
            <wp:extent cx="5943600" cy="59690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943600" cy="5969000"/>
                    </a:xfrm>
                    <a:prstGeom prst="rect">
                      <a:avLst/>
                    </a:prstGeom>
                    <a:ln/>
                  </pic:spPr>
                </pic:pic>
              </a:graphicData>
            </a:graphic>
          </wp:inline>
        </w:drawing>
      </w:r>
    </w:p>
    <w:p w14:paraId="139D1917" w14:textId="77777777" w:rsidR="00C15A74" w:rsidRDefault="00000000">
      <w:pPr>
        <w:spacing w:before="240" w:after="240"/>
        <w:jc w:val="both"/>
        <w:rPr>
          <w:rFonts w:ascii="Cambria" w:eastAsia="Cambria" w:hAnsi="Cambria" w:cs="Cambria"/>
          <w:sz w:val="20"/>
          <w:szCs w:val="20"/>
        </w:rPr>
      </w:pPr>
      <w:r>
        <w:rPr>
          <w:rFonts w:ascii="Cambria" w:eastAsia="Cambria" w:hAnsi="Cambria" w:cs="Cambria"/>
          <w:sz w:val="20"/>
          <w:szCs w:val="20"/>
        </w:rPr>
        <w:t>Figure 7. The importance of grave good categories at Ostojićevo for the prediction of sex in the random forest regression model.</w:t>
      </w:r>
    </w:p>
    <w:p w14:paraId="0CD84972"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For all three dimensions of the burial pits in Ostojićevo, mean values are higher for males than for females, as 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(Table 8). Again, only the difference in burial pit length is marginally statistically significant (t = -2.012,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27, p = 0.054), probably reflecting </w:t>
      </w:r>
      <w:r>
        <w:rPr>
          <w:rFonts w:ascii="Cambria" w:eastAsia="Cambria" w:hAnsi="Cambria" w:cs="Cambria"/>
          <w:sz w:val="24"/>
          <w:szCs w:val="24"/>
        </w:rPr>
        <w:lastRenderedPageBreak/>
        <w:t xml:space="preserve">differences in height between males and females, whereas differences in depth (t = -1.48,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42, p = 0.146) and width (t = -1.339, </w:t>
      </w:r>
      <w:proofErr w:type="spellStart"/>
      <w:r>
        <w:rPr>
          <w:rFonts w:ascii="Cambria" w:eastAsia="Cambria" w:hAnsi="Cambria" w:cs="Cambria"/>
          <w:sz w:val="24"/>
          <w:szCs w:val="24"/>
        </w:rPr>
        <w:t>df</w:t>
      </w:r>
      <w:proofErr w:type="spellEnd"/>
      <w:r>
        <w:rPr>
          <w:rFonts w:ascii="Cambria" w:eastAsia="Cambria" w:hAnsi="Cambria" w:cs="Cambria"/>
          <w:sz w:val="24"/>
          <w:szCs w:val="24"/>
        </w:rPr>
        <w:t xml:space="preserve"> = 27, p = 0.194</w:t>
      </w:r>
      <w:proofErr w:type="gramStart"/>
      <w:r>
        <w:rPr>
          <w:rFonts w:ascii="Cambria" w:eastAsia="Cambria" w:hAnsi="Cambria" w:cs="Cambria"/>
          <w:sz w:val="24"/>
          <w:szCs w:val="24"/>
        </w:rPr>
        <w:t>)  are</w:t>
      </w:r>
      <w:proofErr w:type="gramEnd"/>
      <w:r>
        <w:rPr>
          <w:rFonts w:ascii="Cambria" w:eastAsia="Cambria" w:hAnsi="Cambria" w:cs="Cambria"/>
          <w:sz w:val="24"/>
          <w:szCs w:val="24"/>
        </w:rPr>
        <w:t xml:space="preserve"> not significant at the 0.05 level.</w:t>
      </w:r>
    </w:p>
    <w:p w14:paraId="608655D5" w14:textId="77777777" w:rsidR="00C15A74" w:rsidRDefault="00C15A74">
      <w:pPr>
        <w:spacing w:before="240" w:after="240"/>
        <w:jc w:val="both"/>
      </w:pPr>
    </w:p>
    <w:p w14:paraId="1C97A7CB" w14:textId="77777777" w:rsidR="00C15A74" w:rsidRDefault="00C15A74">
      <w:pPr>
        <w:spacing w:before="240" w:after="240"/>
        <w:jc w:val="both"/>
      </w:pPr>
    </w:p>
    <w:tbl>
      <w:tblPr>
        <w:tblStyle w:val="a6"/>
        <w:tblW w:w="72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080"/>
        <w:gridCol w:w="1275"/>
        <w:gridCol w:w="1365"/>
        <w:gridCol w:w="1800"/>
      </w:tblGrid>
      <w:tr w:rsidR="00C15A74" w14:paraId="2990D03B" w14:textId="77777777">
        <w:trPr>
          <w:trHeight w:val="330"/>
        </w:trPr>
        <w:tc>
          <w:tcPr>
            <w:tcW w:w="168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10CE14E" w14:textId="77777777" w:rsidR="00C15A74" w:rsidRDefault="00000000">
            <w:pPr>
              <w:spacing w:before="240"/>
              <w:ind w:left="20"/>
              <w:jc w:val="both"/>
              <w:rPr>
                <w:color w:val="010205"/>
              </w:rPr>
            </w:pPr>
            <w:r>
              <w:rPr>
                <w:color w:val="010205"/>
              </w:rPr>
              <w:t xml:space="preserve"> </w:t>
            </w:r>
          </w:p>
        </w:tc>
        <w:tc>
          <w:tcPr>
            <w:tcW w:w="1080" w:type="dxa"/>
            <w:tcBorders>
              <w:top w:val="nil"/>
              <w:left w:val="nil"/>
              <w:bottom w:val="single" w:sz="5" w:space="0" w:color="152935"/>
              <w:right w:val="nil"/>
            </w:tcBorders>
            <w:shd w:val="clear" w:color="auto" w:fill="FFFFFF"/>
            <w:tcMar>
              <w:top w:w="0" w:type="dxa"/>
              <w:left w:w="0" w:type="dxa"/>
              <w:bottom w:w="0" w:type="dxa"/>
              <w:right w:w="0" w:type="dxa"/>
            </w:tcMar>
            <w:vAlign w:val="bottom"/>
          </w:tcPr>
          <w:p w14:paraId="662C168B" w14:textId="77777777" w:rsidR="00C15A74" w:rsidRDefault="00000000">
            <w:pPr>
              <w:spacing w:line="349" w:lineRule="auto"/>
              <w:ind w:left="80" w:right="60"/>
              <w:jc w:val="both"/>
              <w:rPr>
                <w:color w:val="264A60"/>
                <w:sz w:val="18"/>
                <w:szCs w:val="18"/>
              </w:rPr>
            </w:pPr>
            <w:r>
              <w:rPr>
                <w:color w:val="264A60"/>
                <w:sz w:val="18"/>
                <w:szCs w:val="18"/>
              </w:rPr>
              <w:t>Sex</w:t>
            </w:r>
          </w:p>
        </w:tc>
        <w:tc>
          <w:tcPr>
            <w:tcW w:w="127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4469CEF4" w14:textId="77777777" w:rsidR="00C15A74" w:rsidRDefault="00000000">
            <w:pPr>
              <w:spacing w:line="349" w:lineRule="auto"/>
              <w:ind w:left="80" w:right="60"/>
              <w:jc w:val="center"/>
              <w:rPr>
                <w:color w:val="264A60"/>
                <w:sz w:val="18"/>
                <w:szCs w:val="18"/>
              </w:rPr>
            </w:pPr>
            <w:r>
              <w:rPr>
                <w:color w:val="264A60"/>
                <w:sz w:val="18"/>
                <w:szCs w:val="18"/>
              </w:rPr>
              <w:t>N</w:t>
            </w:r>
          </w:p>
        </w:tc>
        <w:tc>
          <w:tcPr>
            <w:tcW w:w="136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2A3540A2" w14:textId="77777777" w:rsidR="00C15A74" w:rsidRDefault="00000000">
            <w:pPr>
              <w:spacing w:line="349" w:lineRule="auto"/>
              <w:ind w:left="80" w:right="60"/>
              <w:jc w:val="center"/>
              <w:rPr>
                <w:color w:val="264A60"/>
                <w:sz w:val="18"/>
                <w:szCs w:val="18"/>
              </w:rPr>
            </w:pPr>
            <w:r>
              <w:rPr>
                <w:color w:val="264A60"/>
                <w:sz w:val="18"/>
                <w:szCs w:val="18"/>
              </w:rPr>
              <w:t>Mean</w:t>
            </w:r>
          </w:p>
        </w:tc>
        <w:tc>
          <w:tcPr>
            <w:tcW w:w="180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vAlign w:val="bottom"/>
          </w:tcPr>
          <w:p w14:paraId="57FD4018" w14:textId="77777777" w:rsidR="00C15A74" w:rsidRDefault="00000000">
            <w:pPr>
              <w:spacing w:line="349" w:lineRule="auto"/>
              <w:ind w:left="80" w:right="60"/>
              <w:jc w:val="center"/>
              <w:rPr>
                <w:color w:val="264A60"/>
                <w:sz w:val="18"/>
                <w:szCs w:val="18"/>
              </w:rPr>
            </w:pPr>
            <w:r>
              <w:rPr>
                <w:color w:val="264A60"/>
                <w:sz w:val="18"/>
                <w:szCs w:val="18"/>
              </w:rPr>
              <w:t>Std. Deviation</w:t>
            </w:r>
          </w:p>
        </w:tc>
      </w:tr>
      <w:tr w:rsidR="00C15A74" w14:paraId="686CE560" w14:textId="77777777">
        <w:trPr>
          <w:trHeight w:val="330"/>
        </w:trPr>
        <w:tc>
          <w:tcPr>
            <w:tcW w:w="1680" w:type="dxa"/>
            <w:vMerge w:val="restart"/>
            <w:tcBorders>
              <w:top w:val="nil"/>
              <w:left w:val="nil"/>
              <w:bottom w:val="nil"/>
              <w:right w:val="nil"/>
            </w:tcBorders>
            <w:shd w:val="clear" w:color="auto" w:fill="E0E0E0"/>
            <w:tcMar>
              <w:top w:w="0" w:type="dxa"/>
              <w:left w:w="0" w:type="dxa"/>
              <w:bottom w:w="0" w:type="dxa"/>
              <w:right w:w="0" w:type="dxa"/>
            </w:tcMar>
          </w:tcPr>
          <w:p w14:paraId="33913669" w14:textId="77777777" w:rsidR="00C15A74" w:rsidRDefault="00000000">
            <w:pPr>
              <w:spacing w:line="349" w:lineRule="auto"/>
              <w:ind w:left="80" w:right="60"/>
              <w:jc w:val="both"/>
              <w:rPr>
                <w:color w:val="264A60"/>
                <w:sz w:val="18"/>
                <w:szCs w:val="18"/>
              </w:rPr>
            </w:pPr>
            <w:r>
              <w:rPr>
                <w:color w:val="264A60"/>
                <w:sz w:val="18"/>
                <w:szCs w:val="18"/>
              </w:rPr>
              <w:t>Burial depth</w:t>
            </w:r>
          </w:p>
        </w:tc>
        <w:tc>
          <w:tcPr>
            <w:tcW w:w="1080" w:type="dxa"/>
            <w:tcBorders>
              <w:top w:val="nil"/>
              <w:left w:val="nil"/>
              <w:bottom w:val="single" w:sz="5" w:space="0" w:color="AEAEAE"/>
              <w:right w:val="nil"/>
            </w:tcBorders>
            <w:shd w:val="clear" w:color="auto" w:fill="E0E0E0"/>
            <w:tcMar>
              <w:top w:w="0" w:type="dxa"/>
              <w:left w:w="0" w:type="dxa"/>
              <w:bottom w:w="0" w:type="dxa"/>
              <w:right w:w="0" w:type="dxa"/>
            </w:tcMar>
          </w:tcPr>
          <w:p w14:paraId="64E11EDA" w14:textId="77777777" w:rsidR="00C15A74" w:rsidRDefault="00000000">
            <w:pPr>
              <w:spacing w:line="349" w:lineRule="auto"/>
              <w:ind w:left="80" w:right="60"/>
              <w:jc w:val="both"/>
              <w:rPr>
                <w:color w:val="264A60"/>
                <w:sz w:val="18"/>
                <w:szCs w:val="18"/>
              </w:rPr>
            </w:pPr>
            <w:r>
              <w:rPr>
                <w:color w:val="264A60"/>
                <w:sz w:val="18"/>
                <w:szCs w:val="18"/>
              </w:rPr>
              <w:t>female</w:t>
            </w:r>
          </w:p>
        </w:tc>
        <w:tc>
          <w:tcPr>
            <w:tcW w:w="127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2B6980B1" w14:textId="77777777" w:rsidR="00C15A74" w:rsidRDefault="00000000">
            <w:pPr>
              <w:spacing w:line="349" w:lineRule="auto"/>
              <w:ind w:left="80" w:right="60"/>
              <w:jc w:val="right"/>
              <w:rPr>
                <w:color w:val="010205"/>
                <w:sz w:val="18"/>
                <w:szCs w:val="18"/>
              </w:rPr>
            </w:pPr>
            <w:r>
              <w:rPr>
                <w:color w:val="010205"/>
                <w:sz w:val="18"/>
                <w:szCs w:val="18"/>
              </w:rPr>
              <w:t>22</w:t>
            </w:r>
          </w:p>
        </w:tc>
        <w:tc>
          <w:tcPr>
            <w:tcW w:w="1365"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097AC492" w14:textId="77777777" w:rsidR="00C15A74" w:rsidRDefault="00000000">
            <w:pPr>
              <w:spacing w:line="349" w:lineRule="auto"/>
              <w:ind w:left="80" w:right="60"/>
              <w:jc w:val="right"/>
              <w:rPr>
                <w:color w:val="010205"/>
                <w:sz w:val="18"/>
                <w:szCs w:val="18"/>
              </w:rPr>
            </w:pPr>
            <w:r>
              <w:rPr>
                <w:color w:val="010205"/>
                <w:sz w:val="18"/>
                <w:szCs w:val="18"/>
              </w:rPr>
              <w:t>82.8182</w:t>
            </w:r>
          </w:p>
        </w:tc>
        <w:tc>
          <w:tcPr>
            <w:tcW w:w="1800" w:type="dxa"/>
            <w:tcBorders>
              <w:top w:val="nil"/>
              <w:left w:val="nil"/>
              <w:bottom w:val="single" w:sz="5" w:space="0" w:color="AEAEAE"/>
              <w:right w:val="single" w:sz="5" w:space="0" w:color="E0E0E0"/>
            </w:tcBorders>
            <w:shd w:val="clear" w:color="auto" w:fill="FFFFFF"/>
            <w:tcMar>
              <w:top w:w="0" w:type="dxa"/>
              <w:left w:w="0" w:type="dxa"/>
              <w:bottom w:w="0" w:type="dxa"/>
              <w:right w:w="0" w:type="dxa"/>
            </w:tcMar>
          </w:tcPr>
          <w:p w14:paraId="45D3C658" w14:textId="77777777" w:rsidR="00C15A74" w:rsidRDefault="00000000">
            <w:pPr>
              <w:spacing w:line="349" w:lineRule="auto"/>
              <w:ind w:left="80" w:right="60"/>
              <w:jc w:val="right"/>
              <w:rPr>
                <w:color w:val="010205"/>
                <w:sz w:val="18"/>
                <w:szCs w:val="18"/>
              </w:rPr>
            </w:pPr>
            <w:r>
              <w:rPr>
                <w:color w:val="010205"/>
                <w:sz w:val="18"/>
                <w:szCs w:val="18"/>
              </w:rPr>
              <w:t>21.06823</w:t>
            </w:r>
          </w:p>
        </w:tc>
      </w:tr>
      <w:tr w:rsidR="00C15A74" w14:paraId="5469C577" w14:textId="77777777">
        <w:trPr>
          <w:trHeight w:val="330"/>
        </w:trPr>
        <w:tc>
          <w:tcPr>
            <w:tcW w:w="1680" w:type="dxa"/>
            <w:vMerge/>
            <w:tcBorders>
              <w:top w:val="nil"/>
              <w:left w:val="nil"/>
              <w:bottom w:val="nil"/>
              <w:right w:val="nil"/>
            </w:tcBorders>
            <w:shd w:val="clear" w:color="auto" w:fill="auto"/>
            <w:tcMar>
              <w:top w:w="100" w:type="dxa"/>
              <w:left w:w="100" w:type="dxa"/>
              <w:bottom w:w="100" w:type="dxa"/>
              <w:right w:w="100" w:type="dxa"/>
            </w:tcMar>
          </w:tcPr>
          <w:p w14:paraId="34A871B0" w14:textId="77777777" w:rsidR="00C15A74" w:rsidRDefault="00C15A74">
            <w:pPr>
              <w:spacing w:before="240" w:after="240"/>
              <w:ind w:left="20"/>
              <w:jc w:val="both"/>
            </w:pPr>
          </w:p>
        </w:tc>
        <w:tc>
          <w:tcPr>
            <w:tcW w:w="1080" w:type="dxa"/>
            <w:tcBorders>
              <w:top w:val="nil"/>
              <w:left w:val="nil"/>
              <w:bottom w:val="nil"/>
              <w:right w:val="nil"/>
            </w:tcBorders>
            <w:shd w:val="clear" w:color="auto" w:fill="E0E0E0"/>
            <w:tcMar>
              <w:top w:w="0" w:type="dxa"/>
              <w:left w:w="0" w:type="dxa"/>
              <w:bottom w:w="0" w:type="dxa"/>
              <w:right w:w="0" w:type="dxa"/>
            </w:tcMar>
          </w:tcPr>
          <w:p w14:paraId="3D1E304C" w14:textId="77777777" w:rsidR="00C15A74" w:rsidRDefault="00000000">
            <w:pPr>
              <w:spacing w:line="349" w:lineRule="auto"/>
              <w:ind w:left="80" w:right="60"/>
              <w:jc w:val="both"/>
              <w:rPr>
                <w:color w:val="264A60"/>
                <w:sz w:val="18"/>
                <w:szCs w:val="18"/>
              </w:rPr>
            </w:pPr>
            <w:r>
              <w:rPr>
                <w:color w:val="264A60"/>
                <w:sz w:val="18"/>
                <w:szCs w:val="18"/>
              </w:rPr>
              <w:t>male</w:t>
            </w:r>
          </w:p>
        </w:tc>
        <w:tc>
          <w:tcPr>
            <w:tcW w:w="1275" w:type="dxa"/>
            <w:tcBorders>
              <w:top w:val="nil"/>
              <w:left w:val="nil"/>
              <w:bottom w:val="nil"/>
              <w:right w:val="single" w:sz="5" w:space="0" w:color="E0E0E0"/>
            </w:tcBorders>
            <w:shd w:val="clear" w:color="auto" w:fill="FFFFFF"/>
            <w:tcMar>
              <w:top w:w="0" w:type="dxa"/>
              <w:left w:w="0" w:type="dxa"/>
              <w:bottom w:w="0" w:type="dxa"/>
              <w:right w:w="0" w:type="dxa"/>
            </w:tcMar>
          </w:tcPr>
          <w:p w14:paraId="4A2FB8C3" w14:textId="77777777" w:rsidR="00C15A74" w:rsidRDefault="00000000">
            <w:pPr>
              <w:spacing w:line="349" w:lineRule="auto"/>
              <w:ind w:left="80" w:right="60"/>
              <w:jc w:val="right"/>
              <w:rPr>
                <w:color w:val="010205"/>
                <w:sz w:val="18"/>
                <w:szCs w:val="18"/>
              </w:rPr>
            </w:pPr>
            <w:r>
              <w:rPr>
                <w:color w:val="010205"/>
                <w:sz w:val="18"/>
                <w:szCs w:val="18"/>
              </w:rPr>
              <w:t>22</w:t>
            </w:r>
          </w:p>
        </w:tc>
        <w:tc>
          <w:tcPr>
            <w:tcW w:w="1365" w:type="dxa"/>
            <w:tcBorders>
              <w:top w:val="nil"/>
              <w:left w:val="nil"/>
              <w:bottom w:val="nil"/>
              <w:right w:val="single" w:sz="5" w:space="0" w:color="E0E0E0"/>
            </w:tcBorders>
            <w:shd w:val="clear" w:color="auto" w:fill="FFFFFF"/>
            <w:tcMar>
              <w:top w:w="0" w:type="dxa"/>
              <w:left w:w="0" w:type="dxa"/>
              <w:bottom w:w="0" w:type="dxa"/>
              <w:right w:w="0" w:type="dxa"/>
            </w:tcMar>
          </w:tcPr>
          <w:p w14:paraId="23CFF2EC" w14:textId="77777777" w:rsidR="00C15A74" w:rsidRDefault="00000000">
            <w:pPr>
              <w:spacing w:line="349" w:lineRule="auto"/>
              <w:ind w:left="80" w:right="60"/>
              <w:jc w:val="right"/>
              <w:rPr>
                <w:color w:val="010205"/>
                <w:sz w:val="18"/>
                <w:szCs w:val="18"/>
              </w:rPr>
            </w:pPr>
            <w:r>
              <w:rPr>
                <w:color w:val="010205"/>
                <w:sz w:val="18"/>
                <w:szCs w:val="18"/>
              </w:rPr>
              <w:t>92.5000</w:t>
            </w:r>
          </w:p>
        </w:tc>
        <w:tc>
          <w:tcPr>
            <w:tcW w:w="1800" w:type="dxa"/>
            <w:tcBorders>
              <w:top w:val="nil"/>
              <w:left w:val="nil"/>
              <w:bottom w:val="nil"/>
              <w:right w:val="single" w:sz="5" w:space="0" w:color="E0E0E0"/>
            </w:tcBorders>
            <w:shd w:val="clear" w:color="auto" w:fill="FFFFFF"/>
            <w:tcMar>
              <w:top w:w="0" w:type="dxa"/>
              <w:left w:w="0" w:type="dxa"/>
              <w:bottom w:w="0" w:type="dxa"/>
              <w:right w:w="0" w:type="dxa"/>
            </w:tcMar>
          </w:tcPr>
          <w:p w14:paraId="7BA718A7" w14:textId="77777777" w:rsidR="00C15A74" w:rsidRDefault="00000000">
            <w:pPr>
              <w:spacing w:line="349" w:lineRule="auto"/>
              <w:ind w:left="80" w:right="60"/>
              <w:jc w:val="right"/>
              <w:rPr>
                <w:color w:val="010205"/>
                <w:sz w:val="18"/>
                <w:szCs w:val="18"/>
              </w:rPr>
            </w:pPr>
            <w:r>
              <w:rPr>
                <w:color w:val="010205"/>
                <w:sz w:val="18"/>
                <w:szCs w:val="18"/>
              </w:rPr>
              <w:t>22.30471</w:t>
            </w:r>
          </w:p>
        </w:tc>
      </w:tr>
      <w:tr w:rsidR="00C15A74" w14:paraId="513D8CAB" w14:textId="77777777">
        <w:trPr>
          <w:trHeight w:val="330"/>
        </w:trPr>
        <w:tc>
          <w:tcPr>
            <w:tcW w:w="1680" w:type="dxa"/>
            <w:vMerge w:val="restart"/>
            <w:tcBorders>
              <w:top w:val="single" w:sz="5" w:space="0" w:color="AEAEAE"/>
              <w:left w:val="nil"/>
              <w:bottom w:val="nil"/>
              <w:right w:val="nil"/>
            </w:tcBorders>
            <w:shd w:val="clear" w:color="auto" w:fill="E0E0E0"/>
            <w:tcMar>
              <w:top w:w="0" w:type="dxa"/>
              <w:left w:w="0" w:type="dxa"/>
              <w:bottom w:w="0" w:type="dxa"/>
              <w:right w:w="0" w:type="dxa"/>
            </w:tcMar>
          </w:tcPr>
          <w:p w14:paraId="78C93760" w14:textId="77777777" w:rsidR="00C15A74" w:rsidRDefault="00000000">
            <w:pPr>
              <w:spacing w:line="349" w:lineRule="auto"/>
              <w:ind w:left="80" w:right="60"/>
              <w:jc w:val="both"/>
              <w:rPr>
                <w:color w:val="264A60"/>
                <w:sz w:val="18"/>
                <w:szCs w:val="18"/>
              </w:rPr>
            </w:pPr>
            <w:r>
              <w:rPr>
                <w:color w:val="264A60"/>
                <w:sz w:val="18"/>
                <w:szCs w:val="18"/>
              </w:rPr>
              <w:t>Burial width</w:t>
            </w:r>
          </w:p>
        </w:tc>
        <w:tc>
          <w:tcPr>
            <w:tcW w:w="1080" w:type="dxa"/>
            <w:tcBorders>
              <w:top w:val="single" w:sz="5" w:space="0" w:color="AEAEAE"/>
              <w:left w:val="nil"/>
              <w:bottom w:val="single" w:sz="5" w:space="0" w:color="AEAEAE"/>
              <w:right w:val="nil"/>
            </w:tcBorders>
            <w:shd w:val="clear" w:color="auto" w:fill="E0E0E0"/>
            <w:tcMar>
              <w:top w:w="0" w:type="dxa"/>
              <w:left w:w="0" w:type="dxa"/>
              <w:bottom w:w="0" w:type="dxa"/>
              <w:right w:w="0" w:type="dxa"/>
            </w:tcMar>
          </w:tcPr>
          <w:p w14:paraId="5A5E5336" w14:textId="77777777" w:rsidR="00C15A74" w:rsidRDefault="00000000">
            <w:pPr>
              <w:spacing w:line="349" w:lineRule="auto"/>
              <w:ind w:left="80" w:right="60"/>
              <w:jc w:val="both"/>
              <w:rPr>
                <w:color w:val="264A60"/>
                <w:sz w:val="18"/>
                <w:szCs w:val="18"/>
              </w:rPr>
            </w:pPr>
            <w:r>
              <w:rPr>
                <w:color w:val="264A60"/>
                <w:sz w:val="18"/>
                <w:szCs w:val="18"/>
              </w:rPr>
              <w:t>female</w:t>
            </w:r>
          </w:p>
        </w:tc>
        <w:tc>
          <w:tcPr>
            <w:tcW w:w="127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6FAB29D6" w14:textId="77777777" w:rsidR="00C15A74" w:rsidRDefault="00000000">
            <w:pPr>
              <w:spacing w:line="349" w:lineRule="auto"/>
              <w:ind w:left="80" w:right="60"/>
              <w:jc w:val="right"/>
              <w:rPr>
                <w:color w:val="010205"/>
                <w:sz w:val="18"/>
                <w:szCs w:val="18"/>
              </w:rPr>
            </w:pPr>
            <w:r>
              <w:rPr>
                <w:color w:val="010205"/>
                <w:sz w:val="18"/>
                <w:szCs w:val="18"/>
              </w:rPr>
              <w:t>13</w:t>
            </w:r>
          </w:p>
        </w:tc>
        <w:tc>
          <w:tcPr>
            <w:tcW w:w="136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1470F42D" w14:textId="77777777" w:rsidR="00C15A74" w:rsidRDefault="00000000">
            <w:pPr>
              <w:spacing w:line="349" w:lineRule="auto"/>
              <w:ind w:left="80" w:right="60"/>
              <w:jc w:val="right"/>
              <w:rPr>
                <w:color w:val="010205"/>
                <w:sz w:val="18"/>
                <w:szCs w:val="18"/>
              </w:rPr>
            </w:pPr>
            <w:r>
              <w:rPr>
                <w:color w:val="010205"/>
                <w:sz w:val="18"/>
                <w:szCs w:val="18"/>
              </w:rPr>
              <w:t>86.5385</w:t>
            </w:r>
          </w:p>
        </w:tc>
        <w:tc>
          <w:tcPr>
            <w:tcW w:w="1800"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4C541885" w14:textId="77777777" w:rsidR="00C15A74" w:rsidRDefault="00000000">
            <w:pPr>
              <w:spacing w:line="349" w:lineRule="auto"/>
              <w:ind w:left="80" w:right="60"/>
              <w:jc w:val="right"/>
              <w:rPr>
                <w:color w:val="010205"/>
                <w:sz w:val="18"/>
                <w:szCs w:val="18"/>
              </w:rPr>
            </w:pPr>
            <w:r>
              <w:rPr>
                <w:color w:val="010205"/>
                <w:sz w:val="18"/>
                <w:szCs w:val="18"/>
              </w:rPr>
              <w:t>14.54657</w:t>
            </w:r>
          </w:p>
        </w:tc>
      </w:tr>
      <w:tr w:rsidR="00C15A74" w14:paraId="524665F2" w14:textId="77777777">
        <w:trPr>
          <w:trHeight w:val="330"/>
        </w:trPr>
        <w:tc>
          <w:tcPr>
            <w:tcW w:w="1680" w:type="dxa"/>
            <w:vMerge/>
            <w:tcBorders>
              <w:top w:val="single" w:sz="5" w:space="0" w:color="AEAEAE"/>
              <w:left w:val="nil"/>
              <w:bottom w:val="nil"/>
              <w:right w:val="nil"/>
            </w:tcBorders>
            <w:shd w:val="clear" w:color="auto" w:fill="auto"/>
            <w:tcMar>
              <w:top w:w="100" w:type="dxa"/>
              <w:left w:w="100" w:type="dxa"/>
              <w:bottom w:w="100" w:type="dxa"/>
              <w:right w:w="100" w:type="dxa"/>
            </w:tcMar>
          </w:tcPr>
          <w:p w14:paraId="414A5A9B" w14:textId="77777777" w:rsidR="00C15A74" w:rsidRDefault="00C15A74">
            <w:pPr>
              <w:spacing w:before="240" w:after="240"/>
              <w:ind w:left="20"/>
              <w:jc w:val="both"/>
            </w:pPr>
          </w:p>
        </w:tc>
        <w:tc>
          <w:tcPr>
            <w:tcW w:w="1080" w:type="dxa"/>
            <w:tcBorders>
              <w:top w:val="nil"/>
              <w:left w:val="nil"/>
              <w:bottom w:val="nil"/>
              <w:right w:val="nil"/>
            </w:tcBorders>
            <w:shd w:val="clear" w:color="auto" w:fill="E0E0E0"/>
            <w:tcMar>
              <w:top w:w="0" w:type="dxa"/>
              <w:left w:w="0" w:type="dxa"/>
              <w:bottom w:w="0" w:type="dxa"/>
              <w:right w:w="0" w:type="dxa"/>
            </w:tcMar>
          </w:tcPr>
          <w:p w14:paraId="5C82C805" w14:textId="77777777" w:rsidR="00C15A74" w:rsidRDefault="00000000">
            <w:pPr>
              <w:spacing w:line="349" w:lineRule="auto"/>
              <w:ind w:left="80" w:right="60"/>
              <w:jc w:val="both"/>
              <w:rPr>
                <w:color w:val="264A60"/>
                <w:sz w:val="18"/>
                <w:szCs w:val="18"/>
              </w:rPr>
            </w:pPr>
            <w:r>
              <w:rPr>
                <w:color w:val="264A60"/>
                <w:sz w:val="18"/>
                <w:szCs w:val="18"/>
              </w:rPr>
              <w:t>male</w:t>
            </w:r>
          </w:p>
        </w:tc>
        <w:tc>
          <w:tcPr>
            <w:tcW w:w="1275" w:type="dxa"/>
            <w:tcBorders>
              <w:top w:val="nil"/>
              <w:left w:val="nil"/>
              <w:bottom w:val="nil"/>
              <w:right w:val="single" w:sz="5" w:space="0" w:color="E0E0E0"/>
            </w:tcBorders>
            <w:shd w:val="clear" w:color="auto" w:fill="FFFFFF"/>
            <w:tcMar>
              <w:top w:w="0" w:type="dxa"/>
              <w:left w:w="0" w:type="dxa"/>
              <w:bottom w:w="0" w:type="dxa"/>
              <w:right w:w="0" w:type="dxa"/>
            </w:tcMar>
          </w:tcPr>
          <w:p w14:paraId="20404E3F" w14:textId="77777777" w:rsidR="00C15A74" w:rsidRDefault="00000000">
            <w:pPr>
              <w:spacing w:line="349" w:lineRule="auto"/>
              <w:ind w:left="80" w:right="60"/>
              <w:jc w:val="right"/>
              <w:rPr>
                <w:color w:val="010205"/>
                <w:sz w:val="18"/>
                <w:szCs w:val="18"/>
              </w:rPr>
            </w:pPr>
            <w:r>
              <w:rPr>
                <w:color w:val="010205"/>
                <w:sz w:val="18"/>
                <w:szCs w:val="18"/>
              </w:rPr>
              <w:t>16</w:t>
            </w:r>
          </w:p>
        </w:tc>
        <w:tc>
          <w:tcPr>
            <w:tcW w:w="1365" w:type="dxa"/>
            <w:tcBorders>
              <w:top w:val="nil"/>
              <w:left w:val="nil"/>
              <w:bottom w:val="nil"/>
              <w:right w:val="single" w:sz="5" w:space="0" w:color="E0E0E0"/>
            </w:tcBorders>
            <w:shd w:val="clear" w:color="auto" w:fill="FFFFFF"/>
            <w:tcMar>
              <w:top w:w="0" w:type="dxa"/>
              <w:left w:w="0" w:type="dxa"/>
              <w:bottom w:w="0" w:type="dxa"/>
              <w:right w:w="0" w:type="dxa"/>
            </w:tcMar>
          </w:tcPr>
          <w:p w14:paraId="5E0685FA" w14:textId="77777777" w:rsidR="00C15A74" w:rsidRDefault="00000000">
            <w:pPr>
              <w:spacing w:line="349" w:lineRule="auto"/>
              <w:ind w:left="80" w:right="60"/>
              <w:jc w:val="right"/>
              <w:rPr>
                <w:color w:val="010205"/>
                <w:sz w:val="18"/>
                <w:szCs w:val="18"/>
              </w:rPr>
            </w:pPr>
            <w:r>
              <w:rPr>
                <w:color w:val="010205"/>
                <w:sz w:val="18"/>
                <w:szCs w:val="18"/>
              </w:rPr>
              <w:t>94.0000</w:t>
            </w:r>
          </w:p>
        </w:tc>
        <w:tc>
          <w:tcPr>
            <w:tcW w:w="1800" w:type="dxa"/>
            <w:tcBorders>
              <w:top w:val="nil"/>
              <w:left w:val="nil"/>
              <w:bottom w:val="nil"/>
              <w:right w:val="single" w:sz="5" w:space="0" w:color="E0E0E0"/>
            </w:tcBorders>
            <w:shd w:val="clear" w:color="auto" w:fill="FFFFFF"/>
            <w:tcMar>
              <w:top w:w="0" w:type="dxa"/>
              <w:left w:w="0" w:type="dxa"/>
              <w:bottom w:w="0" w:type="dxa"/>
              <w:right w:w="0" w:type="dxa"/>
            </w:tcMar>
          </w:tcPr>
          <w:p w14:paraId="3B4E9F69" w14:textId="77777777" w:rsidR="00C15A74" w:rsidRDefault="00000000">
            <w:pPr>
              <w:spacing w:line="349" w:lineRule="auto"/>
              <w:ind w:left="80" w:right="60"/>
              <w:jc w:val="right"/>
              <w:rPr>
                <w:color w:val="010205"/>
                <w:sz w:val="18"/>
                <w:szCs w:val="18"/>
              </w:rPr>
            </w:pPr>
            <w:r>
              <w:rPr>
                <w:color w:val="010205"/>
                <w:sz w:val="18"/>
                <w:szCs w:val="18"/>
              </w:rPr>
              <w:t>15.37097</w:t>
            </w:r>
          </w:p>
        </w:tc>
      </w:tr>
      <w:tr w:rsidR="00C15A74" w14:paraId="1B88F3FC" w14:textId="77777777">
        <w:trPr>
          <w:trHeight w:val="330"/>
        </w:trPr>
        <w:tc>
          <w:tcPr>
            <w:tcW w:w="1680" w:type="dxa"/>
            <w:vMerge w:val="restart"/>
            <w:tcBorders>
              <w:top w:val="single" w:sz="5" w:space="0" w:color="AEAEAE"/>
              <w:left w:val="nil"/>
              <w:bottom w:val="single" w:sz="5" w:space="0" w:color="152935"/>
              <w:right w:val="nil"/>
            </w:tcBorders>
            <w:shd w:val="clear" w:color="auto" w:fill="E0E0E0"/>
            <w:tcMar>
              <w:top w:w="0" w:type="dxa"/>
              <w:left w:w="0" w:type="dxa"/>
              <w:bottom w:w="0" w:type="dxa"/>
              <w:right w:w="0" w:type="dxa"/>
            </w:tcMar>
          </w:tcPr>
          <w:p w14:paraId="71C1D6D8" w14:textId="77777777" w:rsidR="00C15A74" w:rsidRDefault="00000000">
            <w:pPr>
              <w:spacing w:line="349" w:lineRule="auto"/>
              <w:ind w:left="80" w:right="60"/>
              <w:jc w:val="both"/>
              <w:rPr>
                <w:color w:val="264A60"/>
                <w:sz w:val="18"/>
                <w:szCs w:val="18"/>
              </w:rPr>
            </w:pPr>
            <w:r>
              <w:rPr>
                <w:color w:val="264A60"/>
                <w:sz w:val="18"/>
                <w:szCs w:val="18"/>
              </w:rPr>
              <w:t>Burial length</w:t>
            </w:r>
          </w:p>
        </w:tc>
        <w:tc>
          <w:tcPr>
            <w:tcW w:w="1080" w:type="dxa"/>
            <w:tcBorders>
              <w:top w:val="single" w:sz="5" w:space="0" w:color="AEAEAE"/>
              <w:left w:val="nil"/>
              <w:bottom w:val="single" w:sz="5" w:space="0" w:color="AEAEAE"/>
              <w:right w:val="nil"/>
            </w:tcBorders>
            <w:shd w:val="clear" w:color="auto" w:fill="E0E0E0"/>
            <w:tcMar>
              <w:top w:w="0" w:type="dxa"/>
              <w:left w:w="0" w:type="dxa"/>
              <w:bottom w:w="0" w:type="dxa"/>
              <w:right w:w="0" w:type="dxa"/>
            </w:tcMar>
          </w:tcPr>
          <w:p w14:paraId="345C05D2" w14:textId="77777777" w:rsidR="00C15A74" w:rsidRDefault="00000000">
            <w:pPr>
              <w:spacing w:line="349" w:lineRule="auto"/>
              <w:ind w:left="80" w:right="60"/>
              <w:jc w:val="both"/>
              <w:rPr>
                <w:color w:val="264A60"/>
                <w:sz w:val="18"/>
                <w:szCs w:val="18"/>
              </w:rPr>
            </w:pPr>
            <w:r>
              <w:rPr>
                <w:color w:val="264A60"/>
                <w:sz w:val="18"/>
                <w:szCs w:val="18"/>
              </w:rPr>
              <w:t>female</w:t>
            </w:r>
          </w:p>
        </w:tc>
        <w:tc>
          <w:tcPr>
            <w:tcW w:w="127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49580BC0" w14:textId="77777777" w:rsidR="00C15A74" w:rsidRDefault="00000000">
            <w:pPr>
              <w:spacing w:line="349" w:lineRule="auto"/>
              <w:ind w:left="80" w:right="60"/>
              <w:jc w:val="right"/>
              <w:rPr>
                <w:color w:val="010205"/>
                <w:sz w:val="18"/>
                <w:szCs w:val="18"/>
              </w:rPr>
            </w:pPr>
            <w:r>
              <w:rPr>
                <w:color w:val="010205"/>
                <w:sz w:val="18"/>
                <w:szCs w:val="18"/>
              </w:rPr>
              <w:t>13</w:t>
            </w:r>
          </w:p>
        </w:tc>
        <w:tc>
          <w:tcPr>
            <w:tcW w:w="1365"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51C7A302" w14:textId="77777777" w:rsidR="00C15A74" w:rsidRDefault="00000000">
            <w:pPr>
              <w:spacing w:line="349" w:lineRule="auto"/>
              <w:ind w:left="80" w:right="60"/>
              <w:jc w:val="right"/>
              <w:rPr>
                <w:color w:val="010205"/>
                <w:sz w:val="18"/>
                <w:szCs w:val="18"/>
              </w:rPr>
            </w:pPr>
            <w:r>
              <w:rPr>
                <w:color w:val="010205"/>
                <w:sz w:val="18"/>
                <w:szCs w:val="18"/>
              </w:rPr>
              <w:t>114.4615</w:t>
            </w:r>
          </w:p>
        </w:tc>
        <w:tc>
          <w:tcPr>
            <w:tcW w:w="1800" w:type="dxa"/>
            <w:tcBorders>
              <w:top w:val="single" w:sz="5" w:space="0" w:color="AEAEAE"/>
              <w:left w:val="nil"/>
              <w:bottom w:val="single" w:sz="5" w:space="0" w:color="AEAEAE"/>
              <w:right w:val="single" w:sz="5" w:space="0" w:color="E0E0E0"/>
            </w:tcBorders>
            <w:shd w:val="clear" w:color="auto" w:fill="FFFFFF"/>
            <w:tcMar>
              <w:top w:w="0" w:type="dxa"/>
              <w:left w:w="0" w:type="dxa"/>
              <w:bottom w:w="0" w:type="dxa"/>
              <w:right w:w="0" w:type="dxa"/>
            </w:tcMar>
          </w:tcPr>
          <w:p w14:paraId="72C570E5" w14:textId="77777777" w:rsidR="00C15A74" w:rsidRDefault="00000000">
            <w:pPr>
              <w:spacing w:line="349" w:lineRule="auto"/>
              <w:ind w:left="80" w:right="60"/>
              <w:jc w:val="right"/>
              <w:rPr>
                <w:color w:val="010205"/>
                <w:sz w:val="18"/>
                <w:szCs w:val="18"/>
              </w:rPr>
            </w:pPr>
            <w:r>
              <w:rPr>
                <w:color w:val="010205"/>
                <w:sz w:val="18"/>
                <w:szCs w:val="18"/>
              </w:rPr>
              <w:t>12.20393</w:t>
            </w:r>
          </w:p>
        </w:tc>
      </w:tr>
      <w:tr w:rsidR="00C15A74" w14:paraId="5D5AD81C" w14:textId="77777777">
        <w:trPr>
          <w:trHeight w:val="330"/>
        </w:trPr>
        <w:tc>
          <w:tcPr>
            <w:tcW w:w="1680" w:type="dxa"/>
            <w:vMerge/>
            <w:tcBorders>
              <w:top w:val="single" w:sz="5" w:space="0" w:color="AEAEAE"/>
              <w:left w:val="nil"/>
              <w:bottom w:val="single" w:sz="5" w:space="0" w:color="152935"/>
              <w:right w:val="nil"/>
            </w:tcBorders>
            <w:shd w:val="clear" w:color="auto" w:fill="auto"/>
            <w:tcMar>
              <w:top w:w="100" w:type="dxa"/>
              <w:left w:w="100" w:type="dxa"/>
              <w:bottom w:w="100" w:type="dxa"/>
              <w:right w:w="100" w:type="dxa"/>
            </w:tcMar>
          </w:tcPr>
          <w:p w14:paraId="7004C883" w14:textId="77777777" w:rsidR="00C15A74" w:rsidRDefault="00C15A74">
            <w:pPr>
              <w:spacing w:before="240" w:after="240"/>
              <w:ind w:left="20"/>
              <w:jc w:val="both"/>
            </w:pPr>
          </w:p>
        </w:tc>
        <w:tc>
          <w:tcPr>
            <w:tcW w:w="1080" w:type="dxa"/>
            <w:tcBorders>
              <w:top w:val="nil"/>
              <w:left w:val="nil"/>
              <w:bottom w:val="single" w:sz="5" w:space="0" w:color="152935"/>
              <w:right w:val="nil"/>
            </w:tcBorders>
            <w:shd w:val="clear" w:color="auto" w:fill="E0E0E0"/>
            <w:tcMar>
              <w:top w:w="0" w:type="dxa"/>
              <w:left w:w="0" w:type="dxa"/>
              <w:bottom w:w="0" w:type="dxa"/>
              <w:right w:w="0" w:type="dxa"/>
            </w:tcMar>
          </w:tcPr>
          <w:p w14:paraId="028D2BC0" w14:textId="77777777" w:rsidR="00C15A74" w:rsidRDefault="00000000">
            <w:pPr>
              <w:spacing w:line="349" w:lineRule="auto"/>
              <w:ind w:left="80" w:right="60"/>
              <w:jc w:val="both"/>
              <w:rPr>
                <w:color w:val="264A60"/>
                <w:sz w:val="18"/>
                <w:szCs w:val="18"/>
              </w:rPr>
            </w:pPr>
            <w:r>
              <w:rPr>
                <w:color w:val="264A60"/>
                <w:sz w:val="18"/>
                <w:szCs w:val="18"/>
              </w:rPr>
              <w:t>male</w:t>
            </w:r>
          </w:p>
        </w:tc>
        <w:tc>
          <w:tcPr>
            <w:tcW w:w="127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7CD4166D" w14:textId="77777777" w:rsidR="00C15A74" w:rsidRDefault="00000000">
            <w:pPr>
              <w:spacing w:line="349" w:lineRule="auto"/>
              <w:ind w:left="80" w:right="60"/>
              <w:jc w:val="right"/>
              <w:rPr>
                <w:color w:val="010205"/>
                <w:sz w:val="18"/>
                <w:szCs w:val="18"/>
              </w:rPr>
            </w:pPr>
            <w:r>
              <w:rPr>
                <w:color w:val="010205"/>
                <w:sz w:val="18"/>
                <w:szCs w:val="18"/>
              </w:rPr>
              <w:t>16</w:t>
            </w:r>
          </w:p>
        </w:tc>
        <w:tc>
          <w:tcPr>
            <w:tcW w:w="1365"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6F6D3DD9" w14:textId="77777777" w:rsidR="00C15A74" w:rsidRDefault="00000000">
            <w:pPr>
              <w:spacing w:line="349" w:lineRule="auto"/>
              <w:ind w:left="80" w:right="60"/>
              <w:jc w:val="right"/>
              <w:rPr>
                <w:color w:val="010205"/>
                <w:sz w:val="18"/>
                <w:szCs w:val="18"/>
              </w:rPr>
            </w:pPr>
            <w:r>
              <w:rPr>
                <w:color w:val="010205"/>
                <w:sz w:val="18"/>
                <w:szCs w:val="18"/>
              </w:rPr>
              <w:t>126.4375</w:t>
            </w:r>
          </w:p>
        </w:tc>
        <w:tc>
          <w:tcPr>
            <w:tcW w:w="1800" w:type="dxa"/>
            <w:tcBorders>
              <w:top w:val="nil"/>
              <w:left w:val="nil"/>
              <w:bottom w:val="single" w:sz="5" w:space="0" w:color="152935"/>
              <w:right w:val="single" w:sz="5" w:space="0" w:color="E0E0E0"/>
            </w:tcBorders>
            <w:shd w:val="clear" w:color="auto" w:fill="FFFFFF"/>
            <w:tcMar>
              <w:top w:w="0" w:type="dxa"/>
              <w:left w:w="0" w:type="dxa"/>
              <w:bottom w:w="0" w:type="dxa"/>
              <w:right w:w="0" w:type="dxa"/>
            </w:tcMar>
          </w:tcPr>
          <w:p w14:paraId="4CEA8E1D" w14:textId="77777777" w:rsidR="00C15A74" w:rsidRDefault="00000000">
            <w:pPr>
              <w:spacing w:line="349" w:lineRule="auto"/>
              <w:ind w:left="80" w:right="60"/>
              <w:jc w:val="right"/>
              <w:rPr>
                <w:color w:val="010205"/>
                <w:sz w:val="18"/>
                <w:szCs w:val="18"/>
              </w:rPr>
            </w:pPr>
            <w:r>
              <w:rPr>
                <w:color w:val="010205"/>
                <w:sz w:val="18"/>
                <w:szCs w:val="18"/>
              </w:rPr>
              <w:t>18.39554</w:t>
            </w:r>
          </w:p>
        </w:tc>
      </w:tr>
    </w:tbl>
    <w:p w14:paraId="01218164" w14:textId="77777777" w:rsidR="00C15A74" w:rsidRDefault="00000000">
      <w:pPr>
        <w:spacing w:before="240" w:after="240"/>
        <w:jc w:val="both"/>
        <w:rPr>
          <w:rFonts w:ascii="Cambria" w:eastAsia="Cambria" w:hAnsi="Cambria" w:cs="Cambria"/>
          <w:sz w:val="20"/>
          <w:szCs w:val="20"/>
        </w:rPr>
      </w:pPr>
      <w:r>
        <w:rPr>
          <w:rFonts w:ascii="Cambria" w:eastAsia="Cambria" w:hAnsi="Cambria" w:cs="Cambria"/>
          <w:sz w:val="20"/>
          <w:szCs w:val="20"/>
        </w:rPr>
        <w:t>Table 8. Descriptive statistics for the burial pit dimensions by sex at Ostojićevo.</w:t>
      </w:r>
    </w:p>
    <w:p w14:paraId="7D6D9D49"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A Chi-squared test was performed to explore the association between body orientation and biological sex. The results revealed a statistically significant relationship between the two variables, χ² (3) = 36.226, p &lt; 0.001, indicating that body orientation is not independent of biological sex.</w:t>
      </w:r>
    </w:p>
    <w:p w14:paraId="7137F00E"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To further assess the strength of this association, Cramér’s V was calculated and yielded a value of 0.952, p &lt; 0.001. This suggests a strong relationship between sex and body orientation, with a high level of predictability regarding an individual's sex based on how the body is oriented. The significance of this association was confirmed by the corresponding </w:t>
      </w:r>
      <w:r>
        <w:rPr>
          <w:rFonts w:ascii="Cambria" w:eastAsia="Cambria" w:hAnsi="Cambria" w:cs="Cambria"/>
          <w:i/>
          <w:sz w:val="24"/>
          <w:szCs w:val="24"/>
        </w:rPr>
        <w:t>p</w:t>
      </w:r>
      <w:r>
        <w:rPr>
          <w:rFonts w:ascii="Cambria" w:eastAsia="Cambria" w:hAnsi="Cambria" w:cs="Cambria"/>
          <w:sz w:val="24"/>
          <w:szCs w:val="24"/>
        </w:rPr>
        <w:t>-value.</w:t>
      </w:r>
    </w:p>
    <w:p w14:paraId="0A013C1B" w14:textId="77777777" w:rsidR="00C15A74" w:rsidRDefault="00C15A74">
      <w:pPr>
        <w:jc w:val="both"/>
      </w:pPr>
    </w:p>
    <w:tbl>
      <w:tblPr>
        <w:tblStyle w:val="a7"/>
        <w:tblpPr w:leftFromText="180" w:rightFromText="180" w:topFromText="180" w:bottomFromText="180" w:vertAnchor="text" w:tblpY="1728"/>
        <w:tblW w:w="5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5"/>
        <w:gridCol w:w="705"/>
        <w:gridCol w:w="750"/>
        <w:gridCol w:w="600"/>
        <w:gridCol w:w="945"/>
        <w:gridCol w:w="825"/>
        <w:gridCol w:w="405"/>
        <w:gridCol w:w="540"/>
      </w:tblGrid>
      <w:tr w:rsidR="00C15A74" w14:paraId="02DBE931" w14:textId="77777777">
        <w:trPr>
          <w:trHeight w:val="315"/>
        </w:trPr>
        <w:tc>
          <w:tcPr>
            <w:tcW w:w="1170" w:type="dxa"/>
            <w:gridSpan w:val="2"/>
            <w:vMerge w:val="restart"/>
            <w:tcBorders>
              <w:top w:val="nil"/>
              <w:left w:val="nil"/>
              <w:bottom w:val="nil"/>
              <w:right w:val="nil"/>
            </w:tcBorders>
            <w:shd w:val="clear" w:color="auto" w:fill="FFFFFF"/>
            <w:tcMar>
              <w:top w:w="20" w:type="dxa"/>
              <w:left w:w="20" w:type="dxa"/>
              <w:bottom w:w="20" w:type="dxa"/>
              <w:right w:w="20" w:type="dxa"/>
            </w:tcMar>
            <w:vAlign w:val="bottom"/>
          </w:tcPr>
          <w:p w14:paraId="6C6B8463" w14:textId="77777777" w:rsidR="00C15A74"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525" w:type="dxa"/>
            <w:gridSpan w:val="5"/>
            <w:tcBorders>
              <w:top w:val="nil"/>
              <w:left w:val="nil"/>
              <w:bottom w:val="nil"/>
              <w:right w:val="single" w:sz="7" w:space="0" w:color="E0E0E0"/>
            </w:tcBorders>
            <w:shd w:val="clear" w:color="auto" w:fill="FFFFFF"/>
            <w:tcMar>
              <w:top w:w="20" w:type="dxa"/>
              <w:left w:w="20" w:type="dxa"/>
              <w:bottom w:w="20" w:type="dxa"/>
              <w:right w:w="20" w:type="dxa"/>
            </w:tcMar>
            <w:vAlign w:val="bottom"/>
          </w:tcPr>
          <w:p w14:paraId="73C2CD16" w14:textId="77777777" w:rsidR="00C15A74" w:rsidRDefault="00000000">
            <w:pPr>
              <w:ind w:left="60" w:right="60"/>
              <w:jc w:val="center"/>
              <w:rPr>
                <w:color w:val="264A60"/>
                <w:sz w:val="18"/>
                <w:szCs w:val="18"/>
              </w:rPr>
            </w:pPr>
            <w:r>
              <w:rPr>
                <w:color w:val="264A60"/>
                <w:sz w:val="18"/>
                <w:szCs w:val="18"/>
              </w:rPr>
              <w:t>Orientation</w:t>
            </w:r>
          </w:p>
        </w:tc>
        <w:tc>
          <w:tcPr>
            <w:tcW w:w="540" w:type="dxa"/>
            <w:tcBorders>
              <w:top w:val="nil"/>
              <w:left w:val="single" w:sz="7" w:space="0" w:color="E0E0E0"/>
              <w:bottom w:val="nil"/>
              <w:right w:val="nil"/>
            </w:tcBorders>
            <w:shd w:val="clear" w:color="auto" w:fill="FFFFFF"/>
            <w:tcMar>
              <w:top w:w="20" w:type="dxa"/>
              <w:left w:w="20" w:type="dxa"/>
              <w:bottom w:w="20" w:type="dxa"/>
              <w:right w:w="20" w:type="dxa"/>
            </w:tcMar>
            <w:vAlign w:val="bottom"/>
          </w:tcPr>
          <w:p w14:paraId="1342C067" w14:textId="77777777" w:rsidR="00C15A74" w:rsidRDefault="00000000">
            <w:pPr>
              <w:ind w:left="60" w:right="60"/>
              <w:jc w:val="center"/>
              <w:rPr>
                <w:color w:val="264A60"/>
                <w:sz w:val="18"/>
                <w:szCs w:val="18"/>
              </w:rPr>
            </w:pPr>
            <w:r>
              <w:rPr>
                <w:color w:val="264A60"/>
                <w:sz w:val="18"/>
                <w:szCs w:val="18"/>
              </w:rPr>
              <w:t>Total</w:t>
            </w:r>
          </w:p>
        </w:tc>
      </w:tr>
      <w:tr w:rsidR="00C15A74" w14:paraId="17959B03" w14:textId="77777777">
        <w:trPr>
          <w:trHeight w:val="330"/>
        </w:trPr>
        <w:tc>
          <w:tcPr>
            <w:tcW w:w="1170" w:type="dxa"/>
            <w:gridSpan w:val="2"/>
            <w:vMerge/>
            <w:tcBorders>
              <w:top w:val="nil"/>
              <w:left w:val="nil"/>
              <w:bottom w:val="single" w:sz="7" w:space="0" w:color="152935"/>
              <w:right w:val="nil"/>
            </w:tcBorders>
          </w:tcPr>
          <w:p w14:paraId="498DB200" w14:textId="77777777" w:rsidR="00C15A74" w:rsidRDefault="00C15A74">
            <w:pPr>
              <w:spacing w:before="240" w:after="240"/>
            </w:pPr>
          </w:p>
        </w:tc>
        <w:tc>
          <w:tcPr>
            <w:tcW w:w="750" w:type="dxa"/>
            <w:tcBorders>
              <w:top w:val="nil"/>
              <w:left w:val="nil"/>
              <w:bottom w:val="single" w:sz="7" w:space="0" w:color="152935"/>
              <w:right w:val="single" w:sz="7" w:space="0" w:color="E0E0E0"/>
            </w:tcBorders>
            <w:shd w:val="clear" w:color="auto" w:fill="FFFFFF"/>
            <w:tcMar>
              <w:top w:w="20" w:type="dxa"/>
              <w:left w:w="20" w:type="dxa"/>
              <w:bottom w:w="20" w:type="dxa"/>
              <w:right w:w="20" w:type="dxa"/>
            </w:tcMar>
            <w:vAlign w:val="bottom"/>
          </w:tcPr>
          <w:p w14:paraId="5BF2827E" w14:textId="77777777" w:rsidR="00C15A74" w:rsidRDefault="00000000">
            <w:pPr>
              <w:ind w:left="60" w:right="60"/>
              <w:jc w:val="center"/>
              <w:rPr>
                <w:color w:val="264A60"/>
                <w:sz w:val="18"/>
                <w:szCs w:val="18"/>
              </w:rPr>
            </w:pPr>
            <w:r>
              <w:rPr>
                <w:color w:val="264A60"/>
                <w:sz w:val="18"/>
                <w:szCs w:val="18"/>
              </w:rPr>
              <w:t>north</w:t>
            </w:r>
          </w:p>
        </w:tc>
        <w:tc>
          <w:tcPr>
            <w:tcW w:w="600" w:type="dxa"/>
            <w:tcBorders>
              <w:top w:val="nil"/>
              <w:left w:val="single" w:sz="7" w:space="0" w:color="E0E0E0"/>
              <w:bottom w:val="single" w:sz="7" w:space="0" w:color="152935"/>
              <w:right w:val="single" w:sz="7" w:space="0" w:color="E0E0E0"/>
            </w:tcBorders>
            <w:shd w:val="clear" w:color="auto" w:fill="FFFFFF"/>
            <w:tcMar>
              <w:top w:w="20" w:type="dxa"/>
              <w:left w:w="20" w:type="dxa"/>
              <w:bottom w:w="20" w:type="dxa"/>
              <w:right w:w="20" w:type="dxa"/>
            </w:tcMar>
            <w:vAlign w:val="bottom"/>
          </w:tcPr>
          <w:p w14:paraId="0184FA1D" w14:textId="77777777" w:rsidR="00C15A74" w:rsidRDefault="00000000">
            <w:pPr>
              <w:ind w:left="60" w:right="60"/>
              <w:jc w:val="center"/>
              <w:rPr>
                <w:color w:val="264A60"/>
                <w:sz w:val="18"/>
                <w:szCs w:val="18"/>
              </w:rPr>
            </w:pPr>
            <w:r>
              <w:rPr>
                <w:color w:val="264A60"/>
                <w:sz w:val="18"/>
                <w:szCs w:val="18"/>
              </w:rPr>
              <w:t>south</w:t>
            </w:r>
          </w:p>
        </w:tc>
        <w:tc>
          <w:tcPr>
            <w:tcW w:w="945" w:type="dxa"/>
            <w:tcBorders>
              <w:top w:val="nil"/>
              <w:left w:val="single" w:sz="7" w:space="0" w:color="E0E0E0"/>
              <w:bottom w:val="single" w:sz="7" w:space="0" w:color="152935"/>
              <w:right w:val="single" w:sz="7" w:space="0" w:color="E0E0E0"/>
            </w:tcBorders>
            <w:shd w:val="clear" w:color="auto" w:fill="FFFFFF"/>
            <w:tcMar>
              <w:top w:w="20" w:type="dxa"/>
              <w:left w:w="20" w:type="dxa"/>
              <w:bottom w:w="20" w:type="dxa"/>
              <w:right w:w="20" w:type="dxa"/>
            </w:tcMar>
            <w:vAlign w:val="bottom"/>
          </w:tcPr>
          <w:p w14:paraId="657BD1F2" w14:textId="77777777" w:rsidR="00C15A74" w:rsidRDefault="00000000">
            <w:pPr>
              <w:ind w:left="60" w:right="60"/>
              <w:jc w:val="center"/>
              <w:rPr>
                <w:color w:val="264A60"/>
                <w:sz w:val="18"/>
                <w:szCs w:val="18"/>
              </w:rPr>
            </w:pPr>
            <w:r>
              <w:rPr>
                <w:color w:val="264A60"/>
                <w:sz w:val="18"/>
                <w:szCs w:val="18"/>
              </w:rPr>
              <w:t>southeast</w:t>
            </w:r>
          </w:p>
        </w:tc>
        <w:tc>
          <w:tcPr>
            <w:tcW w:w="825" w:type="dxa"/>
            <w:tcBorders>
              <w:top w:val="nil"/>
              <w:left w:val="single" w:sz="7" w:space="0" w:color="E0E0E0"/>
              <w:bottom w:val="single" w:sz="7" w:space="0" w:color="152935"/>
              <w:right w:val="single" w:sz="7" w:space="0" w:color="E0E0E0"/>
            </w:tcBorders>
            <w:shd w:val="clear" w:color="auto" w:fill="FFFFFF"/>
            <w:tcMar>
              <w:top w:w="20" w:type="dxa"/>
              <w:left w:w="20" w:type="dxa"/>
              <w:bottom w:w="20" w:type="dxa"/>
              <w:right w:w="20" w:type="dxa"/>
            </w:tcMar>
            <w:vAlign w:val="bottom"/>
          </w:tcPr>
          <w:p w14:paraId="5A321F95" w14:textId="77777777" w:rsidR="00C15A74" w:rsidRDefault="00000000">
            <w:pPr>
              <w:ind w:left="60" w:right="60"/>
              <w:jc w:val="center"/>
              <w:rPr>
                <w:color w:val="264A60"/>
                <w:sz w:val="18"/>
                <w:szCs w:val="18"/>
              </w:rPr>
            </w:pPr>
            <w:r>
              <w:rPr>
                <w:color w:val="264A60"/>
                <w:sz w:val="18"/>
                <w:szCs w:val="18"/>
              </w:rPr>
              <w:t>northwest</w:t>
            </w:r>
          </w:p>
        </w:tc>
        <w:tc>
          <w:tcPr>
            <w:tcW w:w="405" w:type="dxa"/>
            <w:tcBorders>
              <w:top w:val="nil"/>
              <w:left w:val="single" w:sz="7" w:space="0" w:color="E0E0E0"/>
              <w:bottom w:val="single" w:sz="7" w:space="0" w:color="152935"/>
              <w:right w:val="nil"/>
            </w:tcBorders>
            <w:tcMar>
              <w:top w:w="20" w:type="dxa"/>
              <w:left w:w="20" w:type="dxa"/>
              <w:bottom w:w="20" w:type="dxa"/>
              <w:right w:w="20" w:type="dxa"/>
            </w:tcMar>
          </w:tcPr>
          <w:p w14:paraId="4FF2874C" w14:textId="77777777" w:rsidR="00C15A74" w:rsidRDefault="00C15A74">
            <w:pPr>
              <w:spacing w:before="240" w:after="240"/>
            </w:pPr>
          </w:p>
        </w:tc>
        <w:tc>
          <w:tcPr>
            <w:tcW w:w="540" w:type="dxa"/>
            <w:tcBorders>
              <w:top w:val="nil"/>
              <w:left w:val="nil"/>
              <w:bottom w:val="nil"/>
              <w:right w:val="nil"/>
            </w:tcBorders>
          </w:tcPr>
          <w:p w14:paraId="263D453A" w14:textId="77777777" w:rsidR="00C15A74" w:rsidRDefault="00C15A74">
            <w:pPr>
              <w:spacing w:before="240" w:after="240"/>
            </w:pPr>
          </w:p>
        </w:tc>
      </w:tr>
      <w:tr w:rsidR="00C15A74" w14:paraId="4E185DF8" w14:textId="77777777">
        <w:trPr>
          <w:trHeight w:val="485"/>
        </w:trPr>
        <w:tc>
          <w:tcPr>
            <w:tcW w:w="465" w:type="dxa"/>
            <w:vMerge w:val="restart"/>
            <w:tcBorders>
              <w:top w:val="single" w:sz="7" w:space="0" w:color="152935"/>
              <w:left w:val="nil"/>
              <w:bottom w:val="single" w:sz="7" w:space="0" w:color="152935"/>
              <w:right w:val="nil"/>
            </w:tcBorders>
            <w:shd w:val="clear" w:color="auto" w:fill="E0E0E0"/>
            <w:tcMar>
              <w:top w:w="20" w:type="dxa"/>
              <w:left w:w="20" w:type="dxa"/>
              <w:bottom w:w="20" w:type="dxa"/>
              <w:right w:w="20" w:type="dxa"/>
            </w:tcMar>
          </w:tcPr>
          <w:p w14:paraId="61688CDE" w14:textId="77777777" w:rsidR="00C15A74" w:rsidRDefault="00000000">
            <w:pPr>
              <w:ind w:left="60" w:right="60"/>
              <w:rPr>
                <w:color w:val="264A60"/>
                <w:sz w:val="18"/>
                <w:szCs w:val="18"/>
              </w:rPr>
            </w:pPr>
            <w:r>
              <w:rPr>
                <w:color w:val="264A60"/>
                <w:sz w:val="18"/>
                <w:szCs w:val="18"/>
              </w:rPr>
              <w:lastRenderedPageBreak/>
              <w:t>Sex</w:t>
            </w:r>
          </w:p>
        </w:tc>
        <w:tc>
          <w:tcPr>
            <w:tcW w:w="705" w:type="dxa"/>
            <w:tcBorders>
              <w:top w:val="single" w:sz="7" w:space="0" w:color="152935"/>
              <w:left w:val="nil"/>
              <w:bottom w:val="single" w:sz="7" w:space="0" w:color="AEAEAE"/>
              <w:right w:val="nil"/>
            </w:tcBorders>
            <w:shd w:val="clear" w:color="auto" w:fill="E0E0E0"/>
            <w:tcMar>
              <w:top w:w="20" w:type="dxa"/>
              <w:left w:w="20" w:type="dxa"/>
              <w:bottom w:w="20" w:type="dxa"/>
              <w:right w:w="20" w:type="dxa"/>
            </w:tcMar>
          </w:tcPr>
          <w:p w14:paraId="02F10522" w14:textId="77777777" w:rsidR="00C15A74" w:rsidRDefault="00000000">
            <w:pPr>
              <w:ind w:left="60" w:right="60"/>
              <w:rPr>
                <w:color w:val="264A60"/>
                <w:sz w:val="18"/>
                <w:szCs w:val="18"/>
              </w:rPr>
            </w:pPr>
            <w:r>
              <w:rPr>
                <w:color w:val="264A60"/>
                <w:sz w:val="18"/>
                <w:szCs w:val="18"/>
              </w:rPr>
              <w:t>female</w:t>
            </w:r>
          </w:p>
        </w:tc>
        <w:tc>
          <w:tcPr>
            <w:tcW w:w="750" w:type="dxa"/>
            <w:tcBorders>
              <w:top w:val="single" w:sz="7" w:space="0" w:color="152935"/>
              <w:left w:val="nil"/>
              <w:bottom w:val="single" w:sz="7" w:space="0" w:color="AEAEAE"/>
              <w:right w:val="single" w:sz="7" w:space="0" w:color="E0E0E0"/>
            </w:tcBorders>
            <w:shd w:val="clear" w:color="auto" w:fill="FFFFFF"/>
            <w:tcMar>
              <w:top w:w="20" w:type="dxa"/>
              <w:left w:w="20" w:type="dxa"/>
              <w:bottom w:w="20" w:type="dxa"/>
              <w:right w:w="20" w:type="dxa"/>
            </w:tcMar>
          </w:tcPr>
          <w:p w14:paraId="735E8CB7" w14:textId="77777777" w:rsidR="00C15A74" w:rsidRDefault="00000000">
            <w:pPr>
              <w:ind w:left="60" w:right="60"/>
              <w:jc w:val="right"/>
              <w:rPr>
                <w:color w:val="010205"/>
                <w:sz w:val="18"/>
                <w:szCs w:val="18"/>
              </w:rPr>
            </w:pPr>
            <w:r>
              <w:rPr>
                <w:color w:val="010205"/>
                <w:sz w:val="18"/>
                <w:szCs w:val="18"/>
              </w:rPr>
              <w:t>0</w:t>
            </w:r>
          </w:p>
        </w:tc>
        <w:tc>
          <w:tcPr>
            <w:tcW w:w="600" w:type="dxa"/>
            <w:tcBorders>
              <w:top w:val="single" w:sz="7" w:space="0" w:color="152935"/>
              <w:left w:val="single" w:sz="7" w:space="0" w:color="E0E0E0"/>
              <w:bottom w:val="single" w:sz="7" w:space="0" w:color="AEAEAE"/>
              <w:right w:val="single" w:sz="7" w:space="0" w:color="E0E0E0"/>
            </w:tcBorders>
            <w:shd w:val="clear" w:color="auto" w:fill="FFFFFF"/>
            <w:tcMar>
              <w:top w:w="20" w:type="dxa"/>
              <w:left w:w="20" w:type="dxa"/>
              <w:bottom w:w="20" w:type="dxa"/>
              <w:right w:w="20" w:type="dxa"/>
            </w:tcMar>
          </w:tcPr>
          <w:p w14:paraId="0D493E80" w14:textId="77777777" w:rsidR="00C15A74" w:rsidRDefault="00000000">
            <w:pPr>
              <w:ind w:left="60" w:right="60"/>
              <w:jc w:val="right"/>
              <w:rPr>
                <w:color w:val="010205"/>
                <w:sz w:val="18"/>
                <w:szCs w:val="18"/>
              </w:rPr>
            </w:pPr>
            <w:r>
              <w:rPr>
                <w:color w:val="010205"/>
                <w:sz w:val="18"/>
                <w:szCs w:val="18"/>
              </w:rPr>
              <w:t>16</w:t>
            </w:r>
          </w:p>
        </w:tc>
        <w:tc>
          <w:tcPr>
            <w:tcW w:w="945" w:type="dxa"/>
            <w:tcBorders>
              <w:top w:val="single" w:sz="7" w:space="0" w:color="152935"/>
              <w:left w:val="single" w:sz="7" w:space="0" w:color="E0E0E0"/>
              <w:bottom w:val="single" w:sz="7" w:space="0" w:color="AEAEAE"/>
              <w:right w:val="single" w:sz="7" w:space="0" w:color="E0E0E0"/>
            </w:tcBorders>
            <w:shd w:val="clear" w:color="auto" w:fill="FFFFFF"/>
            <w:tcMar>
              <w:top w:w="20" w:type="dxa"/>
              <w:left w:w="20" w:type="dxa"/>
              <w:bottom w:w="20" w:type="dxa"/>
              <w:right w:w="20" w:type="dxa"/>
            </w:tcMar>
          </w:tcPr>
          <w:p w14:paraId="4DEF5BD6" w14:textId="77777777" w:rsidR="00C15A74" w:rsidRDefault="00000000">
            <w:pPr>
              <w:ind w:left="60" w:right="60"/>
              <w:jc w:val="right"/>
              <w:rPr>
                <w:color w:val="010205"/>
                <w:sz w:val="18"/>
                <w:szCs w:val="18"/>
              </w:rPr>
            </w:pPr>
            <w:r>
              <w:rPr>
                <w:color w:val="010205"/>
                <w:sz w:val="18"/>
                <w:szCs w:val="18"/>
              </w:rPr>
              <w:t>3</w:t>
            </w:r>
          </w:p>
        </w:tc>
        <w:tc>
          <w:tcPr>
            <w:tcW w:w="825" w:type="dxa"/>
            <w:tcBorders>
              <w:top w:val="single" w:sz="7" w:space="0" w:color="152935"/>
              <w:left w:val="single" w:sz="7" w:space="0" w:color="E0E0E0"/>
              <w:bottom w:val="single" w:sz="7" w:space="0" w:color="AEAEAE"/>
              <w:right w:val="single" w:sz="7" w:space="0" w:color="E0E0E0"/>
            </w:tcBorders>
            <w:shd w:val="clear" w:color="auto" w:fill="FFFFFF"/>
            <w:tcMar>
              <w:top w:w="20" w:type="dxa"/>
              <w:left w:w="20" w:type="dxa"/>
              <w:bottom w:w="20" w:type="dxa"/>
              <w:right w:w="20" w:type="dxa"/>
            </w:tcMar>
          </w:tcPr>
          <w:p w14:paraId="72A30871" w14:textId="77777777" w:rsidR="00C15A74" w:rsidRDefault="00000000">
            <w:pPr>
              <w:ind w:left="60" w:right="60"/>
              <w:jc w:val="right"/>
              <w:rPr>
                <w:color w:val="010205"/>
                <w:sz w:val="18"/>
                <w:szCs w:val="18"/>
              </w:rPr>
            </w:pPr>
            <w:r>
              <w:rPr>
                <w:color w:val="010205"/>
                <w:sz w:val="18"/>
                <w:szCs w:val="18"/>
              </w:rPr>
              <w:t>0</w:t>
            </w:r>
          </w:p>
        </w:tc>
        <w:tc>
          <w:tcPr>
            <w:tcW w:w="405" w:type="dxa"/>
            <w:tcBorders>
              <w:top w:val="single" w:sz="7" w:space="0" w:color="152935"/>
              <w:left w:val="single" w:sz="7" w:space="0" w:color="E0E0E0"/>
              <w:bottom w:val="single" w:sz="7" w:space="0" w:color="AEAEAE"/>
              <w:right w:val="nil"/>
            </w:tcBorders>
            <w:shd w:val="clear" w:color="auto" w:fill="FFFFFF"/>
            <w:tcMar>
              <w:top w:w="20" w:type="dxa"/>
              <w:left w:w="20" w:type="dxa"/>
              <w:bottom w:w="20" w:type="dxa"/>
              <w:right w:w="20" w:type="dxa"/>
            </w:tcMar>
          </w:tcPr>
          <w:p w14:paraId="7387BFDF" w14:textId="77777777" w:rsidR="00C15A74" w:rsidRDefault="00000000">
            <w:pPr>
              <w:ind w:left="60" w:right="60"/>
              <w:jc w:val="right"/>
              <w:rPr>
                <w:color w:val="010205"/>
                <w:sz w:val="18"/>
                <w:szCs w:val="18"/>
              </w:rPr>
            </w:pPr>
            <w:r>
              <w:rPr>
                <w:color w:val="010205"/>
                <w:sz w:val="18"/>
                <w:szCs w:val="18"/>
              </w:rPr>
              <w:t>19</w:t>
            </w:r>
          </w:p>
        </w:tc>
        <w:tc>
          <w:tcPr>
            <w:tcW w:w="540" w:type="dxa"/>
            <w:tcBorders>
              <w:top w:val="nil"/>
              <w:left w:val="nil"/>
              <w:bottom w:val="single" w:sz="7" w:space="0" w:color="152935"/>
              <w:right w:val="nil"/>
            </w:tcBorders>
          </w:tcPr>
          <w:p w14:paraId="39D8D2B6" w14:textId="77777777" w:rsidR="00C15A74" w:rsidRDefault="00C15A74">
            <w:pPr>
              <w:spacing w:before="240" w:after="240"/>
            </w:pPr>
          </w:p>
        </w:tc>
      </w:tr>
      <w:tr w:rsidR="00C15A74" w14:paraId="77DABD3C" w14:textId="77777777">
        <w:trPr>
          <w:trHeight w:val="330"/>
        </w:trPr>
        <w:tc>
          <w:tcPr>
            <w:tcW w:w="465" w:type="dxa"/>
            <w:vMerge/>
            <w:tcBorders>
              <w:top w:val="single" w:sz="7" w:space="0" w:color="152935"/>
              <w:left w:val="nil"/>
              <w:bottom w:val="single" w:sz="7" w:space="0" w:color="152935"/>
              <w:right w:val="nil"/>
            </w:tcBorders>
          </w:tcPr>
          <w:p w14:paraId="17D9C25F" w14:textId="77777777" w:rsidR="00C15A74" w:rsidRDefault="00C15A74">
            <w:pPr>
              <w:spacing w:before="240" w:after="240"/>
            </w:pPr>
          </w:p>
        </w:tc>
        <w:tc>
          <w:tcPr>
            <w:tcW w:w="705" w:type="dxa"/>
            <w:tcBorders>
              <w:top w:val="single" w:sz="7" w:space="0" w:color="AEAEAE"/>
              <w:left w:val="nil"/>
              <w:bottom w:val="single" w:sz="7" w:space="0" w:color="AEAEAE"/>
              <w:right w:val="nil"/>
            </w:tcBorders>
            <w:shd w:val="clear" w:color="auto" w:fill="E0E0E0"/>
            <w:tcMar>
              <w:top w:w="20" w:type="dxa"/>
              <w:left w:w="20" w:type="dxa"/>
              <w:bottom w:w="20" w:type="dxa"/>
              <w:right w:w="20" w:type="dxa"/>
            </w:tcMar>
          </w:tcPr>
          <w:p w14:paraId="180270BC" w14:textId="77777777" w:rsidR="00C15A74" w:rsidRDefault="00000000">
            <w:pPr>
              <w:ind w:left="60" w:right="60"/>
              <w:rPr>
                <w:color w:val="264A60"/>
                <w:sz w:val="18"/>
                <w:szCs w:val="18"/>
              </w:rPr>
            </w:pPr>
            <w:r>
              <w:rPr>
                <w:color w:val="264A60"/>
                <w:sz w:val="18"/>
                <w:szCs w:val="18"/>
              </w:rPr>
              <w:t>male</w:t>
            </w:r>
          </w:p>
        </w:tc>
        <w:tc>
          <w:tcPr>
            <w:tcW w:w="750" w:type="dxa"/>
            <w:tcBorders>
              <w:top w:val="single" w:sz="7" w:space="0" w:color="AEAEAE"/>
              <w:left w:val="nil"/>
              <w:bottom w:val="single" w:sz="7" w:space="0" w:color="AEAEAE"/>
              <w:right w:val="single" w:sz="7" w:space="0" w:color="E0E0E0"/>
            </w:tcBorders>
            <w:shd w:val="clear" w:color="auto" w:fill="FFFFFF"/>
            <w:tcMar>
              <w:top w:w="20" w:type="dxa"/>
              <w:left w:w="20" w:type="dxa"/>
              <w:bottom w:w="20" w:type="dxa"/>
              <w:right w:w="20" w:type="dxa"/>
            </w:tcMar>
          </w:tcPr>
          <w:p w14:paraId="30AB94F2" w14:textId="77777777" w:rsidR="00C15A74" w:rsidRDefault="00000000">
            <w:pPr>
              <w:ind w:left="60" w:right="60"/>
              <w:jc w:val="right"/>
              <w:rPr>
                <w:color w:val="010205"/>
                <w:sz w:val="18"/>
                <w:szCs w:val="18"/>
              </w:rPr>
            </w:pPr>
            <w:r>
              <w:rPr>
                <w:color w:val="010205"/>
                <w:sz w:val="18"/>
                <w:szCs w:val="18"/>
              </w:rPr>
              <w:t>18</w:t>
            </w:r>
          </w:p>
        </w:tc>
        <w:tc>
          <w:tcPr>
            <w:tcW w:w="600" w:type="dxa"/>
            <w:tcBorders>
              <w:top w:val="single" w:sz="7" w:space="0" w:color="AEAEAE"/>
              <w:left w:val="single" w:sz="7" w:space="0" w:color="E0E0E0"/>
              <w:bottom w:val="single" w:sz="7" w:space="0" w:color="AEAEAE"/>
              <w:right w:val="single" w:sz="7" w:space="0" w:color="E0E0E0"/>
            </w:tcBorders>
            <w:shd w:val="clear" w:color="auto" w:fill="FFFFFF"/>
            <w:tcMar>
              <w:top w:w="20" w:type="dxa"/>
              <w:left w:w="20" w:type="dxa"/>
              <w:bottom w:w="20" w:type="dxa"/>
              <w:right w:w="20" w:type="dxa"/>
            </w:tcMar>
          </w:tcPr>
          <w:p w14:paraId="417DC7AE" w14:textId="77777777" w:rsidR="00C15A74" w:rsidRDefault="00000000">
            <w:pPr>
              <w:ind w:left="60" w:right="60"/>
              <w:jc w:val="right"/>
              <w:rPr>
                <w:color w:val="010205"/>
                <w:sz w:val="18"/>
                <w:szCs w:val="18"/>
              </w:rPr>
            </w:pPr>
            <w:r>
              <w:rPr>
                <w:color w:val="010205"/>
                <w:sz w:val="18"/>
                <w:szCs w:val="18"/>
              </w:rPr>
              <w:t>1</w:t>
            </w:r>
          </w:p>
        </w:tc>
        <w:tc>
          <w:tcPr>
            <w:tcW w:w="945" w:type="dxa"/>
            <w:tcBorders>
              <w:top w:val="single" w:sz="7" w:space="0" w:color="AEAEAE"/>
              <w:left w:val="single" w:sz="7" w:space="0" w:color="E0E0E0"/>
              <w:bottom w:val="single" w:sz="7" w:space="0" w:color="AEAEAE"/>
              <w:right w:val="single" w:sz="7" w:space="0" w:color="E0E0E0"/>
            </w:tcBorders>
            <w:shd w:val="clear" w:color="auto" w:fill="FFFFFF"/>
            <w:tcMar>
              <w:top w:w="20" w:type="dxa"/>
              <w:left w:w="20" w:type="dxa"/>
              <w:bottom w:w="20" w:type="dxa"/>
              <w:right w:w="20" w:type="dxa"/>
            </w:tcMar>
          </w:tcPr>
          <w:p w14:paraId="116227CB" w14:textId="77777777" w:rsidR="00C15A74" w:rsidRDefault="00000000">
            <w:pPr>
              <w:ind w:left="60" w:right="60"/>
              <w:jc w:val="right"/>
              <w:rPr>
                <w:color w:val="010205"/>
                <w:sz w:val="18"/>
                <w:szCs w:val="18"/>
              </w:rPr>
            </w:pPr>
            <w:r>
              <w:rPr>
                <w:color w:val="010205"/>
                <w:sz w:val="18"/>
                <w:szCs w:val="18"/>
              </w:rPr>
              <w:t>0</w:t>
            </w:r>
          </w:p>
        </w:tc>
        <w:tc>
          <w:tcPr>
            <w:tcW w:w="825" w:type="dxa"/>
            <w:tcBorders>
              <w:top w:val="single" w:sz="7" w:space="0" w:color="AEAEAE"/>
              <w:left w:val="single" w:sz="7" w:space="0" w:color="E0E0E0"/>
              <w:bottom w:val="single" w:sz="7" w:space="0" w:color="AEAEAE"/>
              <w:right w:val="single" w:sz="7" w:space="0" w:color="E0E0E0"/>
            </w:tcBorders>
            <w:shd w:val="clear" w:color="auto" w:fill="FFFFFF"/>
            <w:tcMar>
              <w:top w:w="20" w:type="dxa"/>
              <w:left w:w="20" w:type="dxa"/>
              <w:bottom w:w="20" w:type="dxa"/>
              <w:right w:w="20" w:type="dxa"/>
            </w:tcMar>
          </w:tcPr>
          <w:p w14:paraId="7D9D5874" w14:textId="77777777" w:rsidR="00C15A74" w:rsidRDefault="00000000">
            <w:pPr>
              <w:ind w:left="60" w:right="60"/>
              <w:jc w:val="right"/>
              <w:rPr>
                <w:color w:val="010205"/>
                <w:sz w:val="18"/>
                <w:szCs w:val="18"/>
              </w:rPr>
            </w:pPr>
            <w:r>
              <w:rPr>
                <w:color w:val="010205"/>
                <w:sz w:val="18"/>
                <w:szCs w:val="18"/>
              </w:rPr>
              <w:t>2</w:t>
            </w:r>
          </w:p>
        </w:tc>
        <w:tc>
          <w:tcPr>
            <w:tcW w:w="405" w:type="dxa"/>
            <w:tcBorders>
              <w:top w:val="single" w:sz="7" w:space="0" w:color="AEAEAE"/>
              <w:left w:val="single" w:sz="7" w:space="0" w:color="E0E0E0"/>
              <w:bottom w:val="single" w:sz="7" w:space="0" w:color="AEAEAE"/>
              <w:right w:val="nil"/>
            </w:tcBorders>
            <w:shd w:val="clear" w:color="auto" w:fill="FFFFFF"/>
            <w:tcMar>
              <w:top w:w="20" w:type="dxa"/>
              <w:left w:w="20" w:type="dxa"/>
              <w:bottom w:w="20" w:type="dxa"/>
              <w:right w:w="20" w:type="dxa"/>
            </w:tcMar>
          </w:tcPr>
          <w:p w14:paraId="185765CF" w14:textId="77777777" w:rsidR="00C15A74" w:rsidRDefault="00000000">
            <w:pPr>
              <w:ind w:left="60" w:right="60"/>
              <w:jc w:val="right"/>
              <w:rPr>
                <w:color w:val="010205"/>
                <w:sz w:val="18"/>
                <w:szCs w:val="18"/>
              </w:rPr>
            </w:pPr>
            <w:r>
              <w:rPr>
                <w:color w:val="010205"/>
                <w:sz w:val="18"/>
                <w:szCs w:val="18"/>
              </w:rPr>
              <w:t>21</w:t>
            </w:r>
          </w:p>
        </w:tc>
        <w:tc>
          <w:tcPr>
            <w:tcW w:w="540" w:type="dxa"/>
            <w:tcBorders>
              <w:top w:val="single" w:sz="7" w:space="0" w:color="152935"/>
              <w:left w:val="nil"/>
              <w:bottom w:val="single" w:sz="7" w:space="0" w:color="152935"/>
              <w:right w:val="nil"/>
            </w:tcBorders>
          </w:tcPr>
          <w:p w14:paraId="6BE97FDA" w14:textId="77777777" w:rsidR="00C15A74" w:rsidRDefault="00C15A74">
            <w:pPr>
              <w:spacing w:before="240" w:after="240"/>
            </w:pPr>
          </w:p>
        </w:tc>
      </w:tr>
      <w:tr w:rsidR="00C15A74" w14:paraId="51A97D13" w14:textId="77777777">
        <w:trPr>
          <w:trHeight w:val="545"/>
        </w:trPr>
        <w:tc>
          <w:tcPr>
            <w:tcW w:w="1170" w:type="dxa"/>
            <w:gridSpan w:val="2"/>
            <w:tcBorders>
              <w:top w:val="single" w:sz="7" w:space="0" w:color="152935"/>
              <w:left w:val="nil"/>
              <w:bottom w:val="single" w:sz="7" w:space="0" w:color="152935"/>
              <w:right w:val="nil"/>
            </w:tcBorders>
            <w:shd w:val="clear" w:color="auto" w:fill="E0E0E0"/>
            <w:tcMar>
              <w:top w:w="20" w:type="dxa"/>
              <w:left w:w="20" w:type="dxa"/>
              <w:bottom w:w="20" w:type="dxa"/>
              <w:right w:w="20" w:type="dxa"/>
            </w:tcMar>
          </w:tcPr>
          <w:p w14:paraId="1D9AAE7F" w14:textId="77777777" w:rsidR="00C15A74" w:rsidRDefault="00000000">
            <w:pPr>
              <w:ind w:left="60" w:right="60"/>
              <w:rPr>
                <w:color w:val="264A60"/>
                <w:sz w:val="18"/>
                <w:szCs w:val="18"/>
              </w:rPr>
            </w:pPr>
            <w:r>
              <w:rPr>
                <w:color w:val="264A60"/>
                <w:sz w:val="18"/>
                <w:szCs w:val="18"/>
              </w:rPr>
              <w:t>Total</w:t>
            </w:r>
          </w:p>
        </w:tc>
        <w:tc>
          <w:tcPr>
            <w:tcW w:w="750" w:type="dxa"/>
            <w:tcBorders>
              <w:top w:val="single" w:sz="7" w:space="0" w:color="AEAEAE"/>
              <w:left w:val="nil"/>
              <w:bottom w:val="single" w:sz="7" w:space="0" w:color="152935"/>
              <w:right w:val="single" w:sz="7" w:space="0" w:color="E0E0E0"/>
            </w:tcBorders>
            <w:shd w:val="clear" w:color="auto" w:fill="FFFFFF"/>
            <w:tcMar>
              <w:top w:w="20" w:type="dxa"/>
              <w:left w:w="20" w:type="dxa"/>
              <w:bottom w:w="20" w:type="dxa"/>
              <w:right w:w="20" w:type="dxa"/>
            </w:tcMar>
          </w:tcPr>
          <w:p w14:paraId="5224EFD0" w14:textId="77777777" w:rsidR="00C15A74" w:rsidRDefault="00000000">
            <w:pPr>
              <w:ind w:left="60" w:right="60"/>
              <w:jc w:val="right"/>
              <w:rPr>
                <w:color w:val="010205"/>
                <w:sz w:val="18"/>
                <w:szCs w:val="18"/>
              </w:rPr>
            </w:pPr>
            <w:r>
              <w:rPr>
                <w:color w:val="010205"/>
                <w:sz w:val="18"/>
                <w:szCs w:val="18"/>
              </w:rPr>
              <w:t>18</w:t>
            </w:r>
          </w:p>
        </w:tc>
        <w:tc>
          <w:tcPr>
            <w:tcW w:w="600" w:type="dxa"/>
            <w:tcBorders>
              <w:top w:val="single" w:sz="7" w:space="0" w:color="AEAEAE"/>
              <w:left w:val="single" w:sz="7" w:space="0" w:color="E0E0E0"/>
              <w:bottom w:val="single" w:sz="7" w:space="0" w:color="152935"/>
              <w:right w:val="single" w:sz="7" w:space="0" w:color="E0E0E0"/>
            </w:tcBorders>
            <w:shd w:val="clear" w:color="auto" w:fill="FFFFFF"/>
            <w:tcMar>
              <w:top w:w="20" w:type="dxa"/>
              <w:left w:w="20" w:type="dxa"/>
              <w:bottom w:w="20" w:type="dxa"/>
              <w:right w:w="20" w:type="dxa"/>
            </w:tcMar>
          </w:tcPr>
          <w:p w14:paraId="6E10E8CF" w14:textId="77777777" w:rsidR="00C15A74" w:rsidRDefault="00000000">
            <w:pPr>
              <w:ind w:left="60" w:right="60"/>
              <w:jc w:val="right"/>
              <w:rPr>
                <w:color w:val="010205"/>
                <w:sz w:val="18"/>
                <w:szCs w:val="18"/>
              </w:rPr>
            </w:pPr>
            <w:r>
              <w:rPr>
                <w:color w:val="010205"/>
                <w:sz w:val="18"/>
                <w:szCs w:val="18"/>
              </w:rPr>
              <w:t>17</w:t>
            </w:r>
          </w:p>
        </w:tc>
        <w:tc>
          <w:tcPr>
            <w:tcW w:w="945" w:type="dxa"/>
            <w:tcBorders>
              <w:top w:val="single" w:sz="7" w:space="0" w:color="AEAEAE"/>
              <w:left w:val="single" w:sz="7" w:space="0" w:color="E0E0E0"/>
              <w:bottom w:val="single" w:sz="7" w:space="0" w:color="152935"/>
              <w:right w:val="single" w:sz="7" w:space="0" w:color="E0E0E0"/>
            </w:tcBorders>
            <w:shd w:val="clear" w:color="auto" w:fill="FFFFFF"/>
            <w:tcMar>
              <w:top w:w="20" w:type="dxa"/>
              <w:left w:w="20" w:type="dxa"/>
              <w:bottom w:w="20" w:type="dxa"/>
              <w:right w:w="20" w:type="dxa"/>
            </w:tcMar>
          </w:tcPr>
          <w:p w14:paraId="19C03CC5" w14:textId="77777777" w:rsidR="00C15A74" w:rsidRDefault="00000000">
            <w:pPr>
              <w:ind w:left="60" w:right="60"/>
              <w:jc w:val="right"/>
              <w:rPr>
                <w:color w:val="010205"/>
                <w:sz w:val="18"/>
                <w:szCs w:val="18"/>
              </w:rPr>
            </w:pPr>
            <w:r>
              <w:rPr>
                <w:color w:val="010205"/>
                <w:sz w:val="18"/>
                <w:szCs w:val="18"/>
              </w:rPr>
              <w:t>3</w:t>
            </w:r>
          </w:p>
        </w:tc>
        <w:tc>
          <w:tcPr>
            <w:tcW w:w="825" w:type="dxa"/>
            <w:tcBorders>
              <w:top w:val="single" w:sz="7" w:space="0" w:color="AEAEAE"/>
              <w:left w:val="single" w:sz="7" w:space="0" w:color="E0E0E0"/>
              <w:bottom w:val="single" w:sz="7" w:space="0" w:color="152935"/>
              <w:right w:val="single" w:sz="7" w:space="0" w:color="E0E0E0"/>
            </w:tcBorders>
            <w:shd w:val="clear" w:color="auto" w:fill="FFFFFF"/>
            <w:tcMar>
              <w:top w:w="20" w:type="dxa"/>
              <w:left w:w="20" w:type="dxa"/>
              <w:bottom w:w="20" w:type="dxa"/>
              <w:right w:w="20" w:type="dxa"/>
            </w:tcMar>
          </w:tcPr>
          <w:p w14:paraId="7EE816DF" w14:textId="77777777" w:rsidR="00C15A74" w:rsidRDefault="00000000">
            <w:pPr>
              <w:ind w:left="60" w:right="60"/>
              <w:jc w:val="right"/>
              <w:rPr>
                <w:color w:val="010205"/>
                <w:sz w:val="18"/>
                <w:szCs w:val="18"/>
              </w:rPr>
            </w:pPr>
            <w:r>
              <w:rPr>
                <w:color w:val="010205"/>
                <w:sz w:val="18"/>
                <w:szCs w:val="18"/>
              </w:rPr>
              <w:t>2</w:t>
            </w:r>
          </w:p>
        </w:tc>
        <w:tc>
          <w:tcPr>
            <w:tcW w:w="405" w:type="dxa"/>
            <w:tcBorders>
              <w:top w:val="single" w:sz="7" w:space="0" w:color="AEAEAE"/>
              <w:left w:val="single" w:sz="7" w:space="0" w:color="E0E0E0"/>
              <w:bottom w:val="single" w:sz="7" w:space="0" w:color="152935"/>
              <w:right w:val="nil"/>
            </w:tcBorders>
            <w:shd w:val="clear" w:color="auto" w:fill="FFFFFF"/>
            <w:tcMar>
              <w:top w:w="20" w:type="dxa"/>
              <w:left w:w="20" w:type="dxa"/>
              <w:bottom w:w="20" w:type="dxa"/>
              <w:right w:w="20" w:type="dxa"/>
            </w:tcMar>
          </w:tcPr>
          <w:p w14:paraId="28C269E4" w14:textId="77777777" w:rsidR="00C15A74" w:rsidRDefault="00000000">
            <w:pPr>
              <w:ind w:left="60" w:right="60"/>
              <w:jc w:val="right"/>
              <w:rPr>
                <w:color w:val="010205"/>
                <w:sz w:val="18"/>
                <w:szCs w:val="18"/>
              </w:rPr>
            </w:pPr>
            <w:r>
              <w:rPr>
                <w:color w:val="010205"/>
                <w:sz w:val="18"/>
                <w:szCs w:val="18"/>
              </w:rPr>
              <w:t>40</w:t>
            </w:r>
          </w:p>
        </w:tc>
        <w:tc>
          <w:tcPr>
            <w:tcW w:w="540" w:type="dxa"/>
            <w:tcBorders>
              <w:top w:val="single" w:sz="7" w:space="0" w:color="152935"/>
              <w:left w:val="nil"/>
              <w:bottom w:val="single" w:sz="7" w:space="0" w:color="152935"/>
              <w:right w:val="nil"/>
            </w:tcBorders>
          </w:tcPr>
          <w:p w14:paraId="4565137D" w14:textId="77777777" w:rsidR="00C15A74" w:rsidRDefault="00C15A74">
            <w:pPr>
              <w:spacing w:before="240" w:after="240"/>
            </w:pPr>
          </w:p>
        </w:tc>
      </w:tr>
    </w:tbl>
    <w:p w14:paraId="6E30137F" w14:textId="77777777" w:rsidR="00C15A74" w:rsidRDefault="00C15A74">
      <w:pPr>
        <w:jc w:val="both"/>
      </w:pPr>
    </w:p>
    <w:p w14:paraId="4568E7EC" w14:textId="77777777" w:rsidR="00C15A74" w:rsidRDefault="00C15A74">
      <w:pPr>
        <w:jc w:val="both"/>
      </w:pPr>
    </w:p>
    <w:p w14:paraId="64961B14" w14:textId="77777777" w:rsidR="00C15A74" w:rsidRDefault="00C15A74">
      <w:pPr>
        <w:jc w:val="both"/>
      </w:pPr>
    </w:p>
    <w:p w14:paraId="6D99C001" w14:textId="77777777" w:rsidR="00C15A74" w:rsidRDefault="00C15A74">
      <w:pPr>
        <w:jc w:val="both"/>
      </w:pPr>
    </w:p>
    <w:p w14:paraId="3E67DC3A" w14:textId="77777777" w:rsidR="00C15A74" w:rsidRDefault="00C15A74">
      <w:pPr>
        <w:jc w:val="both"/>
      </w:pPr>
    </w:p>
    <w:p w14:paraId="31786C45" w14:textId="77777777" w:rsidR="00C15A74" w:rsidRDefault="00C15A74">
      <w:pPr>
        <w:jc w:val="both"/>
      </w:pPr>
    </w:p>
    <w:p w14:paraId="73DE6CAE" w14:textId="77777777" w:rsidR="00C15A74" w:rsidRDefault="00C15A74">
      <w:pPr>
        <w:jc w:val="both"/>
      </w:pPr>
    </w:p>
    <w:p w14:paraId="36FC3258" w14:textId="77777777" w:rsidR="00C15A74" w:rsidRDefault="00C15A74">
      <w:pPr>
        <w:jc w:val="both"/>
      </w:pPr>
    </w:p>
    <w:p w14:paraId="04241970" w14:textId="77777777" w:rsidR="00C15A74" w:rsidRDefault="00000000">
      <w:pPr>
        <w:jc w:val="both"/>
        <w:rPr>
          <w:rFonts w:ascii="Cambria" w:eastAsia="Cambria" w:hAnsi="Cambria" w:cs="Cambria"/>
          <w:sz w:val="20"/>
          <w:szCs w:val="20"/>
        </w:rPr>
      </w:pPr>
      <w:r>
        <w:rPr>
          <w:rFonts w:ascii="Cambria" w:eastAsia="Cambria" w:hAnsi="Cambria" w:cs="Cambria"/>
          <w:sz w:val="20"/>
          <w:szCs w:val="20"/>
        </w:rPr>
        <w:t xml:space="preserve">Table 9. Contingency table for the chi-squared test showing the relationship of sex and body orientation at Ostojićevo. Chi squared = 36.226, </w:t>
      </w:r>
      <w:proofErr w:type="spellStart"/>
      <w:r>
        <w:rPr>
          <w:rFonts w:ascii="Cambria" w:eastAsia="Cambria" w:hAnsi="Cambria" w:cs="Cambria"/>
          <w:sz w:val="20"/>
          <w:szCs w:val="20"/>
        </w:rPr>
        <w:t>df</w:t>
      </w:r>
      <w:proofErr w:type="spellEnd"/>
      <w:r>
        <w:rPr>
          <w:rFonts w:ascii="Cambria" w:eastAsia="Cambria" w:hAnsi="Cambria" w:cs="Cambria"/>
          <w:sz w:val="20"/>
          <w:szCs w:val="20"/>
        </w:rPr>
        <w:t xml:space="preserve"> = 3. P &lt; 0.001, Cramer’s V = 0.952, p &lt; 0.001</w:t>
      </w:r>
    </w:p>
    <w:p w14:paraId="77F08B64" w14:textId="77777777" w:rsidR="00C15A74" w:rsidRDefault="00C15A74">
      <w:pPr>
        <w:jc w:val="both"/>
      </w:pPr>
    </w:p>
    <w:p w14:paraId="622073E3" w14:textId="77777777" w:rsidR="00C15A74" w:rsidRDefault="00000000">
      <w:pPr>
        <w:jc w:val="both"/>
        <w:rPr>
          <w:b/>
        </w:rPr>
      </w:pPr>
      <w:r>
        <w:rPr>
          <w:rFonts w:ascii="Cambria" w:eastAsia="Cambria" w:hAnsi="Cambria" w:cs="Cambria"/>
          <w:sz w:val="24"/>
          <w:szCs w:val="24"/>
        </w:rPr>
        <w:t>A more detailed look at the data shows distinct patterns of body orientation across sexes. Most females (16 out of 19) were buried with their heads to the south, compared to only one male (out of 21) in the same orientation. Other orientations, such as southeast (with 3 females) and northwest (with 2 males), also exhibited sex-specific trends. These patterns strongly suggest that burial orientation was influenced by biological sex, with a pronounced preference for females to be interred with their heads to the south and males with their heads to the north.</w:t>
      </w:r>
      <w:r>
        <w:rPr>
          <w:rFonts w:ascii="Cambria" w:eastAsia="Cambria" w:hAnsi="Cambria" w:cs="Cambria"/>
          <w:sz w:val="24"/>
          <w:szCs w:val="24"/>
        </w:rPr>
        <w:tab/>
      </w:r>
      <w:r>
        <w:tab/>
      </w:r>
      <w:r>
        <w:tab/>
      </w:r>
      <w:r>
        <w:tab/>
      </w:r>
      <w:r>
        <w:tab/>
      </w:r>
      <w:r>
        <w:tab/>
      </w:r>
      <w:r>
        <w:tab/>
      </w:r>
    </w:p>
    <w:p w14:paraId="120AAF59" w14:textId="77777777" w:rsidR="00C15A74" w:rsidRDefault="00000000">
      <w:pPr>
        <w:spacing w:before="240" w:after="240"/>
        <w:jc w:val="both"/>
        <w:rPr>
          <w:b/>
        </w:rPr>
      </w:pPr>
      <w:r>
        <w:rPr>
          <w:b/>
        </w:rPr>
        <w:t xml:space="preserve">Discussion </w:t>
      </w:r>
    </w:p>
    <w:p w14:paraId="3EF5A1AE"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Previous analyses of grave goods from the Maros necropolises, as noted above, have primarily focused on their potential function as indicators of social status (O’Shea 1996;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 As such, they did include gender, since the intersection of gender and both horizontal and vertical social statuses and roles is inevitable. In the present study, we specifically investigate the role of gender in the selection of grave goods for adult individuals 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necropolises, with the aim of identifying any significant differences in the funerary offerings associated with male and female burials.</w:t>
      </w:r>
    </w:p>
    <w:p w14:paraId="70485A76"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We started with the correspondence analysis between gender and classes of grave goods. As seen in Figure 3, CA axis 1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mostly separated graves with unmodified animal bones from those in which animal bones were absent. The second axis seemed to reflect gender differences.</w:t>
      </w:r>
    </w:p>
    <w:p w14:paraId="22C3614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In her analysis of available unworked animal bones from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T. Blagojević (2020) noted that while in some instances animal bones clearly represent food offerings, the majority seem to indicate some symbolic significance.  However, the presence of unworked animal bones did not have a significant connection with gender (Blagojević 2020:85), so we decided to exclude it from our next correspondence analysis to try and get a better picture. </w:t>
      </w:r>
    </w:p>
    <w:p w14:paraId="3C7860F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lastRenderedPageBreak/>
        <w:t xml:space="preserve">The correspondence analysis for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conducted after the exclusion of unmodified animal bones, appears to primarily capture gender-based variation in the composition of grave goods along the principal axis (Figure 3). While certain classes of grave goods exhibit clustering patterns that suggest gender-specific associations in both analyses, it is important to emphasize that these patterns represent statistical tendencies rather than categorical distinctions. The substantial overlap between male and female burials within the correspondence analysis space indicates that grave goods, when considered in isolation, are not reliable predictors of an individual’s sex 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Furthermore, the correspondence analysis yielded no significant differentiation in the distribution of grave goods between male and female individuals at the Ostojićevo necropolis.</w:t>
      </w:r>
    </w:p>
    <w:p w14:paraId="712D0B6B"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Similar to the results of the principal component analysis, the analysis of the correlation between the biological sex and types of grave goods indicate that sex influenced the composition of grave goods assemblages, but no type of grave goods can be said to be exclusively connected to either sex. At the Ostojićevo necropolis, the same test yielded no statistically significant association between the sex of the interred individuals and types of grave goods (Table 6).</w:t>
      </w:r>
    </w:p>
    <w:p w14:paraId="681BF557"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Previous research on the Maros cemeteries by J. O’Shea (1996:260) emphasized the complexity of the mortuary program 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cemetery, highlighting the intersection of indicators of sex and social status. In fact, weapons, sashes, and bone needles - three of the categories that exhibited sex-based associations in our analysis - were also identified by O’Shea as markers of social status. Further research exploring social stratification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has revealed divergent patterns of physical activity among men and women across both higher and lower status groups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and Stefanović 2009; Stefanović and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2013), as well as potential differences in the pathways to acquiring or achieving social status for men and women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 Precisely this interplay between sex and social status might be the driving force behind the ambiguity observed in the association between grave goods and the biological sex of the deceased.</w:t>
      </w:r>
    </w:p>
    <w:p w14:paraId="139FF2F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Ostojićevo necropolis was not included in J. O’Shea’s (1996) analysis of the Maros mortuary program. Nevertheless, it was hypothesized to follow the same funerary patterns and norms as the rest of the Maros necropolises, given that most of the other necropolises seem to follow it very strictly.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did a preliminary analysis of the Ostojićevo grave goods assemblage by applying the method J. O’Shea used for the other Maros necropolises and concluded that although the graves at Ostojićevo contained significantly fewer grave goods than those at </w:t>
      </w:r>
      <w:proofErr w:type="spellStart"/>
      <w:r>
        <w:rPr>
          <w:rFonts w:ascii="Cambria" w:eastAsia="Cambria" w:hAnsi="Cambria" w:cs="Cambria"/>
          <w:sz w:val="24"/>
          <w:szCs w:val="24"/>
        </w:rPr>
        <w:t>Mokrin</w:t>
      </w:r>
      <w:proofErr w:type="spellEnd"/>
      <w:r>
        <w:rPr>
          <w:rFonts w:ascii="Cambria" w:eastAsia="Cambria" w:hAnsi="Cambria" w:cs="Cambria"/>
          <w:sz w:val="24"/>
          <w:szCs w:val="24"/>
        </w:rPr>
        <w:t>, some markers of social status recognized by J. O’Shea can be confirmed at Ostojićevo as well.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2009:68-69). Additionally, same as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analysis of the physical activity of the adults buried at the Ostojićevo necropolis demonstrated that, in addition to sex-based differences in activity levels, social status also </w:t>
      </w:r>
      <w:r>
        <w:rPr>
          <w:rFonts w:ascii="Cambria" w:eastAsia="Cambria" w:hAnsi="Cambria" w:cs="Cambria"/>
          <w:sz w:val="24"/>
          <w:szCs w:val="24"/>
        </w:rPr>
        <w:lastRenderedPageBreak/>
        <w:t xml:space="preserve">played a significant role (Vučetić 2015). One of the most notable differences between the two sites—beyond the fact that Ostojićevo contains approximately one-third the number of graves found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—is the markedly lower quantity and diversity of grave goods, particularly those made of metal. This disparity affected both the sample size available for our analysis and may have influenced the lack of a clear correlation between the material culture and gender. </w:t>
      </w:r>
    </w:p>
    <w:p w14:paraId="7A3961FE"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Overall, while certain grave goods may offer a marginal improvement in the prediction of the biological sex of the deceased, their use as predictive indicators 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necropolises shows no clear correlation between individual grave good types or assemblages and the gender of the buried individual. Interplay between status and gender may be obscuring gender association with certain grave goods, but inclusion of grave goods also might not be limited to the deceased’s possession (Parker Pearson 1999). They may be final gifts of community members or heirlooms and might carry possible gendered information of the gift giver instead.</w:t>
      </w:r>
    </w:p>
    <w:p w14:paraId="0671532D" w14:textId="77777777" w:rsidR="00C15A74" w:rsidRDefault="00000000">
      <w:pPr>
        <w:spacing w:before="240" w:after="240"/>
        <w:jc w:val="both"/>
        <w:rPr>
          <w:rFonts w:ascii="Cambria" w:eastAsia="Cambria" w:hAnsi="Cambria" w:cs="Cambria"/>
          <w:i/>
          <w:sz w:val="24"/>
          <w:szCs w:val="24"/>
        </w:rPr>
      </w:pPr>
      <w:r>
        <w:rPr>
          <w:rFonts w:ascii="Cambria" w:eastAsia="Cambria" w:hAnsi="Cambria" w:cs="Cambria"/>
          <w:i/>
          <w:sz w:val="24"/>
          <w:szCs w:val="24"/>
        </w:rPr>
        <w:t>Body orientation</w:t>
      </w:r>
    </w:p>
    <w:p w14:paraId="4490893D"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While variations in grave goods appear to have been primarily influenced by the social status of the deceased - within which gender inevitably intersects - body treatment seems to provide a means to express horizontal social distinctions, namely gender.  A distinct pattern of men being buried on their left side, their heads to the north, and their faces turned to east, while women being buried on their right side, with their heads to the south, and also facing east, emerged from the previous analysis of the Maros necropolises (O’Shea 1996).</w:t>
      </w:r>
    </w:p>
    <w:p w14:paraId="77EDC33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The positioning and orientation of the body could convey significant differences without requiring substantial variation in the expenditure of resources. As a result, it is possible to observe distinct burial treatments for men and women that are of comparable value, suggesting the existence of differentiated yet equivalent social standings. Additionally, by following a strict norm of orientation, body treatment can also serve as a delineation between community members and outsiders.</w:t>
      </w:r>
    </w:p>
    <w:p w14:paraId="77674848"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Our analyses show a statistically significant correlation between the sex of the deceased adults and their burial orientation at both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(Tables 4 and 9). The emergent pattern fits into Robb and Harris’s hypothesis of binary gender (Robb and Harris 2018) in the Bronze Age, with a small number of exceptions, while the majority follows the recognized norm.</w:t>
      </w:r>
    </w:p>
    <w:p w14:paraId="504CE59F"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cemetery, the data shows that 56 out of 69 men were buried with their heads oriented towards north, and the majority of women (69 out of 81) were buried with their heads towards south. It should be noted that our analysis included the southeast, northeast, </w:t>
      </w:r>
      <w:r>
        <w:rPr>
          <w:rFonts w:ascii="Cambria" w:eastAsia="Cambria" w:hAnsi="Cambria" w:cs="Cambria"/>
          <w:sz w:val="24"/>
          <w:szCs w:val="24"/>
        </w:rPr>
        <w:lastRenderedPageBreak/>
        <w:t>southwest, and northwest as separate orientations for the sake of precision, even though it could be argued that</w:t>
      </w:r>
      <w:r>
        <w:rPr>
          <w:rFonts w:ascii="Cambria" w:eastAsia="Cambria" w:hAnsi="Cambria" w:cs="Cambria"/>
          <w:color w:val="4472C4"/>
          <w:sz w:val="24"/>
          <w:szCs w:val="24"/>
        </w:rPr>
        <w:t xml:space="preserve"> </w:t>
      </w:r>
      <w:r>
        <w:rPr>
          <w:rFonts w:ascii="Cambria" w:eastAsia="Cambria" w:hAnsi="Cambria" w:cs="Cambria"/>
          <w:sz w:val="24"/>
          <w:szCs w:val="24"/>
        </w:rPr>
        <w:t xml:space="preserve">these represent minor, unintentional deviations from the principal normative axes of north and south. Taking this into account, we are left with nine men and nine women buried in an orientation that deviates from the expected gendered norm. Out of those 18, three individuals (122W, 122S, and 257a) were buried in either a double or a triple grave, a practice which is already itself outside of the norm. As for the rest, there is always a possibility of an error in the osteological estimation of the sex, especially given the poor preservation level and considerable fragmentation of the material. In cases in which we were able to check the sex of the buried individuals using tooth enamel peptide analysis (Table 1) or </w:t>
      </w:r>
      <w:proofErr w:type="spellStart"/>
      <w:r>
        <w:rPr>
          <w:rFonts w:ascii="Cambria" w:eastAsia="Cambria" w:hAnsi="Cambria" w:cs="Cambria"/>
          <w:sz w:val="24"/>
          <w:szCs w:val="24"/>
        </w:rPr>
        <w:t>aDNA</w:t>
      </w:r>
      <w:proofErr w:type="spellEnd"/>
      <w:r>
        <w:rPr>
          <w:rFonts w:ascii="Cambria" w:eastAsia="Cambria" w:hAnsi="Cambria" w:cs="Cambria"/>
          <w:sz w:val="24"/>
          <w:szCs w:val="24"/>
        </w:rPr>
        <w:t xml:space="preserve"> it was confirmed that they were indeed buried in the “right” orientation.  The adults reported as buried in opposite orientation, discussed in M. </w:t>
      </w:r>
      <w:proofErr w:type="spellStart"/>
      <w:r>
        <w:rPr>
          <w:rFonts w:ascii="Cambria" w:eastAsia="Cambria" w:hAnsi="Cambria" w:cs="Cambria"/>
          <w:sz w:val="24"/>
          <w:szCs w:val="24"/>
        </w:rPr>
        <w:t>Porčić's</w:t>
      </w:r>
      <w:proofErr w:type="spellEnd"/>
      <w:r>
        <w:rPr>
          <w:rFonts w:ascii="Cambria" w:eastAsia="Cambria" w:hAnsi="Cambria" w:cs="Cambria"/>
          <w:sz w:val="24"/>
          <w:szCs w:val="24"/>
        </w:rPr>
        <w:t xml:space="preserve"> study, confirm all the above. Individuals buried in graves 79 and 88 had the wrong estimation of osteological sex due to poor preservation, and the individuals from the group grave 122/S and 122/W were buried in opposite orientation compared to genetic sex, but the group grave is an exception itself. Taking all of this into account, while it remains possible that some individuals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were deliberately buried in an orientation contrary to their biological sex, the available proteomic sex determinations and ancient DNA analyses indicate that the community consistently adhered to established funerary norms. These findings suggest that no burials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deviate from the expected gendered orientation, in contrast to the interpretations proposed by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(2010) and Matić (2012). </w:t>
      </w:r>
    </w:p>
    <w:p w14:paraId="3111DB28" w14:textId="77777777" w:rsidR="00C15A74" w:rsidRDefault="00000000">
      <w:pPr>
        <w:spacing w:before="240" w:after="240"/>
        <w:jc w:val="both"/>
      </w:pPr>
      <w:r>
        <w:rPr>
          <w:rFonts w:ascii="Cambria" w:eastAsia="Cambria" w:hAnsi="Cambria" w:cs="Cambria"/>
          <w:sz w:val="24"/>
          <w:szCs w:val="24"/>
        </w:rPr>
        <w:t xml:space="preserve">A similar pattern is noted in the Ostojićevo necropolis. The majority of females (16 out of 19) were buried with their heads to the south. For males, the data showed that most men (18 out of 21) were buried with their heads oriented north. Applying the same criteria as used for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—namely, treating minor deviations from the cardinal axes as alignment with normative orientation—only a single man (grave 107) was buried in the orientation normative for women.  </w:t>
      </w:r>
      <w:r>
        <w:t xml:space="preserve"> </w:t>
      </w:r>
    </w:p>
    <w:p w14:paraId="15115192" w14:textId="77777777" w:rsidR="00C15A74" w:rsidRDefault="00000000">
      <w:pPr>
        <w:spacing w:before="240" w:after="240"/>
        <w:rPr>
          <w:rFonts w:ascii="Cambria" w:eastAsia="Cambria" w:hAnsi="Cambria" w:cs="Cambria"/>
          <w:sz w:val="24"/>
          <w:szCs w:val="24"/>
        </w:rPr>
      </w:pPr>
      <w:r>
        <w:rPr>
          <w:rFonts w:ascii="Cambria" w:eastAsia="Cambria" w:hAnsi="Cambria" w:cs="Cambria"/>
          <w:b/>
          <w:sz w:val="24"/>
          <w:szCs w:val="24"/>
        </w:rPr>
        <w:t xml:space="preserve">Conclusion </w:t>
      </w:r>
    </w:p>
    <w:p w14:paraId="5472FED1"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This study examined the relationship between biological sex, gender, and grave goods and body treatment 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necropolises. Our results indicate that while certain classes of grave goods display statistically significant associations with the sex of the deceased—particularly at </w:t>
      </w:r>
      <w:proofErr w:type="spellStart"/>
      <w:r>
        <w:rPr>
          <w:rFonts w:ascii="Cambria" w:eastAsia="Cambria" w:hAnsi="Cambria" w:cs="Cambria"/>
          <w:sz w:val="24"/>
          <w:szCs w:val="24"/>
        </w:rPr>
        <w:t>Mokrin</w:t>
      </w:r>
      <w:proofErr w:type="spellEnd"/>
      <w:r>
        <w:rPr>
          <w:rFonts w:ascii="Cambria" w:eastAsia="Cambria" w:hAnsi="Cambria" w:cs="Cambria"/>
          <w:sz w:val="24"/>
          <w:szCs w:val="24"/>
        </w:rPr>
        <w:t>—these associations remain weak to moderate and are characterized by a considerable degree of overlap between male and female burials. Multiple statistical approaches have shown that grave goods alone are not reliable indicators of sex, nor can they be used to predict it with high accuracy.</w:t>
      </w:r>
    </w:p>
    <w:p w14:paraId="5AA67B48"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The overlap of grave goods buried with men and women may be attributed to the intersection of sex and social status, as previous research has suggested that certain grave goods functioned as indicators of status (O’Shea 1996), as well as marked differences </w:t>
      </w:r>
      <w:r>
        <w:rPr>
          <w:rFonts w:ascii="Cambria" w:eastAsia="Cambria" w:hAnsi="Cambria" w:cs="Cambria"/>
          <w:sz w:val="24"/>
          <w:szCs w:val="24"/>
        </w:rPr>
        <w:lastRenderedPageBreak/>
        <w:t>between men and women of the same status in physical activity, health, and pathway to achieving/acquiring status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and Stefanović 2009; Stefanović and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2013;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and Radinović 2024). Additionally, grave goods may also have reflected their relationship with the mourner, and not only the identity of the deceased, creating an assemblage of grave goods that overlap and give mixed signals.</w:t>
      </w:r>
    </w:p>
    <w:p w14:paraId="3FD44D73"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In contrast, burial orientation demonstrates a more consistent and statistically significant correlation with biological sex at both sites. The normative pattern of men being buried with their heads to the north and women with their heads to the south is strongly upheld by our data, with only a small number of exceptions. While some deviations may be attributed to osteological misclassification or contextual anomalies such as multiple burials, the possibility remains, albeit small, that a few individuals were intentionally buried in orientations opposing their biological sex. Still, our data confirmed that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community strictly adhered to the gendered body orientation norms. </w:t>
      </w:r>
    </w:p>
    <w:p w14:paraId="4EAC1BE1"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While grave goods offer limited predictive power regarding gender, body orientation emerges as a more stable and consistent way for the expression of gender norms in burial contexts of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necropolis. To widen the scope, future research should include a similar analysis of children’s burials as well. Such an approach would not only contribute towards a full understanding of the gender identities across the whole population, but also deepen the discussion by including questions of the rites of passage and the age at which infants became boys and girls and, later, men and women.</w:t>
      </w:r>
    </w:p>
    <w:p w14:paraId="3BB65E2E" w14:textId="77777777" w:rsidR="00C15A74" w:rsidRDefault="00C15A74">
      <w:pPr>
        <w:spacing w:before="240" w:after="240"/>
        <w:jc w:val="both"/>
        <w:rPr>
          <w:rFonts w:ascii="Cambria" w:eastAsia="Cambria" w:hAnsi="Cambria" w:cs="Cambria"/>
          <w:sz w:val="24"/>
          <w:szCs w:val="24"/>
        </w:rPr>
      </w:pPr>
    </w:p>
    <w:p w14:paraId="5E47E393" w14:textId="77777777" w:rsidR="00C15A74" w:rsidRDefault="00000000">
      <w:pPr>
        <w:spacing w:before="240" w:after="240"/>
        <w:jc w:val="both"/>
        <w:rPr>
          <w:i/>
          <w:color w:val="9900FF"/>
        </w:rPr>
      </w:pPr>
      <w:r>
        <w:rPr>
          <w:b/>
        </w:rPr>
        <w:t xml:space="preserve">Bibliography </w:t>
      </w:r>
    </w:p>
    <w:p w14:paraId="06F26894" w14:textId="77777777" w:rsidR="00C15A74" w:rsidRDefault="00000000">
      <w:pPr>
        <w:spacing w:line="342" w:lineRule="auto"/>
        <w:ind w:left="-80"/>
        <w:jc w:val="both"/>
        <w:rPr>
          <w:b/>
          <w:sz w:val="23"/>
          <w:szCs w:val="23"/>
        </w:rPr>
      </w:pPr>
      <w:r>
        <w:rPr>
          <w:b/>
          <w:sz w:val="23"/>
          <w:szCs w:val="23"/>
        </w:rPr>
        <w:t xml:space="preserve">PRIMERI: </w:t>
      </w:r>
    </w:p>
    <w:p w14:paraId="1CA2B801" w14:textId="77777777" w:rsidR="00C15A74" w:rsidRDefault="00000000">
      <w:pPr>
        <w:spacing w:line="342" w:lineRule="auto"/>
        <w:ind w:left="-80"/>
        <w:jc w:val="both"/>
        <w:rPr>
          <w:b/>
          <w:sz w:val="23"/>
          <w:szCs w:val="23"/>
        </w:rPr>
      </w:pPr>
      <w:proofErr w:type="spellStart"/>
      <w:r>
        <w:rPr>
          <w:b/>
          <w:sz w:val="23"/>
          <w:szCs w:val="23"/>
        </w:rPr>
        <w:t>Forenbaher</w:t>
      </w:r>
      <w:proofErr w:type="spellEnd"/>
      <w:r>
        <w:rPr>
          <w:b/>
          <w:sz w:val="23"/>
          <w:szCs w:val="23"/>
        </w:rPr>
        <w:t xml:space="preserve"> 1993</w:t>
      </w:r>
    </w:p>
    <w:p w14:paraId="2979C7B8" w14:textId="77777777" w:rsidR="00C15A74" w:rsidRDefault="00000000">
      <w:pPr>
        <w:spacing w:line="342" w:lineRule="auto"/>
        <w:ind w:left="-80"/>
        <w:jc w:val="both"/>
        <w:rPr>
          <w:b/>
          <w:sz w:val="23"/>
          <w:szCs w:val="23"/>
        </w:rPr>
      </w:pPr>
      <w:r>
        <w:rPr>
          <w:b/>
          <w:sz w:val="23"/>
          <w:szCs w:val="23"/>
        </w:rPr>
        <w:t xml:space="preserve">S. </w:t>
      </w:r>
      <w:proofErr w:type="spellStart"/>
      <w:r>
        <w:rPr>
          <w:b/>
          <w:sz w:val="23"/>
          <w:szCs w:val="23"/>
        </w:rPr>
        <w:t>Forenbaher</w:t>
      </w:r>
      <w:proofErr w:type="spellEnd"/>
      <w:r>
        <w:rPr>
          <w:b/>
          <w:sz w:val="23"/>
          <w:szCs w:val="23"/>
        </w:rPr>
        <w:t>, Radiocarbon dates and absolute chronology of the central European Early Bronze Age, Antiquity 67, 1993, 218–220.</w:t>
      </w:r>
    </w:p>
    <w:p w14:paraId="3FEFB104" w14:textId="77777777" w:rsidR="00C15A74" w:rsidRDefault="00C15A74">
      <w:pPr>
        <w:spacing w:line="342" w:lineRule="auto"/>
        <w:ind w:left="-80"/>
        <w:jc w:val="both"/>
        <w:rPr>
          <w:b/>
          <w:sz w:val="23"/>
          <w:szCs w:val="23"/>
        </w:rPr>
      </w:pPr>
    </w:p>
    <w:p w14:paraId="6966B1C1" w14:textId="77777777" w:rsidR="00C15A74" w:rsidRDefault="00000000">
      <w:pPr>
        <w:spacing w:line="342" w:lineRule="auto"/>
        <w:ind w:left="-80"/>
        <w:jc w:val="both"/>
        <w:rPr>
          <w:b/>
          <w:sz w:val="23"/>
          <w:szCs w:val="23"/>
        </w:rPr>
      </w:pPr>
      <w:r>
        <w:rPr>
          <w:b/>
          <w:sz w:val="23"/>
          <w:szCs w:val="23"/>
        </w:rPr>
        <w:t xml:space="preserve">Özdoğan 2002 </w:t>
      </w:r>
    </w:p>
    <w:p w14:paraId="23BE2802" w14:textId="77777777" w:rsidR="00C15A74" w:rsidRDefault="00000000">
      <w:pPr>
        <w:spacing w:line="342" w:lineRule="auto"/>
        <w:ind w:left="-80"/>
        <w:jc w:val="both"/>
        <w:rPr>
          <w:b/>
          <w:sz w:val="23"/>
          <w:szCs w:val="23"/>
        </w:rPr>
      </w:pPr>
      <w:r>
        <w:rPr>
          <w:b/>
          <w:sz w:val="23"/>
          <w:szCs w:val="23"/>
        </w:rPr>
        <w:t xml:space="preserve">M. Özdoğan, The Bronze Age in Thrace in relation to the emergence of complex societies in Anatolia and in the Aegean. In: Ü. Yalçın (Ed.), Anatolian Metal II. Der Anschnitt </w:t>
      </w:r>
      <w:proofErr w:type="spellStart"/>
      <w:r>
        <w:rPr>
          <w:b/>
          <w:sz w:val="23"/>
          <w:szCs w:val="23"/>
        </w:rPr>
        <w:t>Beiheft</w:t>
      </w:r>
      <w:proofErr w:type="spellEnd"/>
      <w:r>
        <w:rPr>
          <w:b/>
          <w:sz w:val="23"/>
          <w:szCs w:val="23"/>
        </w:rPr>
        <w:t xml:space="preserve"> 15, </w:t>
      </w:r>
      <w:proofErr w:type="spellStart"/>
      <w:r>
        <w:rPr>
          <w:b/>
          <w:sz w:val="23"/>
          <w:szCs w:val="23"/>
        </w:rPr>
        <w:t>Veröffentlichungen</w:t>
      </w:r>
      <w:proofErr w:type="spellEnd"/>
      <w:r>
        <w:rPr>
          <w:b/>
          <w:sz w:val="23"/>
          <w:szCs w:val="23"/>
        </w:rPr>
        <w:t xml:space="preserve"> </w:t>
      </w:r>
      <w:proofErr w:type="spellStart"/>
      <w:r>
        <w:rPr>
          <w:b/>
          <w:sz w:val="23"/>
          <w:szCs w:val="23"/>
        </w:rPr>
        <w:t>aus</w:t>
      </w:r>
      <w:proofErr w:type="spellEnd"/>
      <w:r>
        <w:rPr>
          <w:b/>
          <w:sz w:val="23"/>
          <w:szCs w:val="23"/>
        </w:rPr>
        <w:t xml:space="preserve"> dem </w:t>
      </w:r>
      <w:proofErr w:type="spellStart"/>
      <w:r>
        <w:rPr>
          <w:b/>
          <w:sz w:val="23"/>
          <w:szCs w:val="23"/>
        </w:rPr>
        <w:t>Deutschen</w:t>
      </w:r>
      <w:proofErr w:type="spellEnd"/>
      <w:r>
        <w:rPr>
          <w:b/>
          <w:sz w:val="23"/>
          <w:szCs w:val="23"/>
        </w:rPr>
        <w:t xml:space="preserve"> Bergbau-Museum 109, Bochum 2002, 67–82. </w:t>
      </w:r>
    </w:p>
    <w:p w14:paraId="5111A7F9" w14:textId="77777777" w:rsidR="00C15A74" w:rsidRDefault="00C15A74">
      <w:pPr>
        <w:spacing w:line="342" w:lineRule="auto"/>
        <w:ind w:left="-80"/>
        <w:jc w:val="both"/>
        <w:rPr>
          <w:b/>
          <w:sz w:val="23"/>
          <w:szCs w:val="23"/>
        </w:rPr>
      </w:pPr>
    </w:p>
    <w:p w14:paraId="2D65CDBB" w14:textId="77777777" w:rsidR="00C15A74" w:rsidRDefault="00000000">
      <w:pPr>
        <w:spacing w:line="342" w:lineRule="auto"/>
        <w:ind w:left="-80"/>
        <w:jc w:val="both"/>
        <w:rPr>
          <w:b/>
          <w:sz w:val="23"/>
          <w:szCs w:val="23"/>
        </w:rPr>
      </w:pPr>
      <w:r>
        <w:rPr>
          <w:b/>
          <w:sz w:val="23"/>
          <w:szCs w:val="23"/>
        </w:rPr>
        <w:t xml:space="preserve">Service 1975 </w:t>
      </w:r>
    </w:p>
    <w:p w14:paraId="35924358" w14:textId="77777777" w:rsidR="00C15A74" w:rsidRDefault="00000000">
      <w:pPr>
        <w:spacing w:line="342" w:lineRule="auto"/>
        <w:ind w:left="-80"/>
        <w:jc w:val="both"/>
        <w:rPr>
          <w:b/>
          <w:sz w:val="23"/>
          <w:szCs w:val="23"/>
        </w:rPr>
      </w:pPr>
      <w:r>
        <w:rPr>
          <w:b/>
          <w:sz w:val="23"/>
          <w:szCs w:val="23"/>
        </w:rPr>
        <w:lastRenderedPageBreak/>
        <w:t>E. R. Service, Origins of the State and Civilization: The Process of Cultural Evolution. New York 1975.</w:t>
      </w:r>
    </w:p>
    <w:p w14:paraId="472E5A97" w14:textId="77777777" w:rsidR="00C15A74" w:rsidRDefault="00C15A74">
      <w:pPr>
        <w:spacing w:line="342" w:lineRule="auto"/>
        <w:ind w:left="-80"/>
        <w:jc w:val="both"/>
        <w:rPr>
          <w:rFonts w:ascii="Roboto" w:eastAsia="Roboto" w:hAnsi="Roboto" w:cs="Roboto"/>
          <w:color w:val="444746"/>
          <w:sz w:val="21"/>
          <w:szCs w:val="21"/>
        </w:rPr>
      </w:pPr>
    </w:p>
    <w:p w14:paraId="5856219B" w14:textId="77777777" w:rsidR="00C15A74" w:rsidRPr="0041523D" w:rsidRDefault="00000000">
      <w:pPr>
        <w:spacing w:line="342" w:lineRule="auto"/>
        <w:ind w:left="-80"/>
        <w:jc w:val="both"/>
        <w:rPr>
          <w:rFonts w:ascii="Cambria" w:eastAsia="Cambria" w:hAnsi="Cambria" w:cs="Cambria"/>
          <w:sz w:val="24"/>
          <w:szCs w:val="24"/>
        </w:rPr>
      </w:pPr>
      <w:r w:rsidRPr="0041523D">
        <w:rPr>
          <w:rFonts w:ascii="Cambria" w:eastAsia="Cambria" w:hAnsi="Cambria" w:cs="Cambria"/>
          <w:sz w:val="24"/>
          <w:szCs w:val="24"/>
        </w:rPr>
        <w:t xml:space="preserve">Amzirkov 2020 </w:t>
      </w:r>
    </w:p>
    <w:p w14:paraId="7B540D79" w14:textId="77777777" w:rsidR="00C15A74" w:rsidRPr="0041523D" w:rsidRDefault="00000000">
      <w:pPr>
        <w:spacing w:line="342" w:lineRule="auto"/>
        <w:ind w:left="-80"/>
        <w:jc w:val="both"/>
        <w:rPr>
          <w:rFonts w:ascii="Cambria" w:eastAsia="Cambria" w:hAnsi="Cambria" w:cs="Cambria"/>
          <w:sz w:val="24"/>
          <w:szCs w:val="24"/>
        </w:rPr>
      </w:pPr>
      <w:r w:rsidRPr="0041523D">
        <w:rPr>
          <w:rFonts w:ascii="Cambria" w:eastAsia="Cambria" w:hAnsi="Cambria" w:cs="Cambria"/>
          <w:sz w:val="24"/>
          <w:szCs w:val="24"/>
        </w:rPr>
        <w:t>Amzirkov forthcoming</w:t>
      </w:r>
    </w:p>
    <w:p w14:paraId="6295D6D0" w14:textId="77777777" w:rsidR="00C15A74" w:rsidRDefault="00C15A74">
      <w:pPr>
        <w:spacing w:line="342" w:lineRule="auto"/>
        <w:ind w:left="-80"/>
        <w:jc w:val="both"/>
        <w:rPr>
          <w:rFonts w:ascii="Roboto" w:eastAsia="Roboto" w:hAnsi="Roboto" w:cs="Roboto"/>
          <w:color w:val="444746"/>
          <w:sz w:val="21"/>
          <w:szCs w:val="21"/>
        </w:rPr>
      </w:pPr>
    </w:p>
    <w:p w14:paraId="295ECD25" w14:textId="77777777" w:rsidR="00C15A74" w:rsidRDefault="00000000">
      <w:pPr>
        <w:spacing w:line="342" w:lineRule="auto"/>
        <w:ind w:left="-80"/>
        <w:jc w:val="both"/>
        <w:rPr>
          <w:rFonts w:ascii="Cambria" w:eastAsia="Cambria" w:hAnsi="Cambria" w:cs="Cambria"/>
          <w:sz w:val="24"/>
          <w:szCs w:val="24"/>
        </w:rPr>
      </w:pPr>
      <w:r>
        <w:rPr>
          <w:rFonts w:ascii="Cambria" w:eastAsia="Cambria" w:hAnsi="Cambria" w:cs="Cambria"/>
          <w:sz w:val="24"/>
          <w:szCs w:val="24"/>
        </w:rPr>
        <w:t>Blagojević 2020</w:t>
      </w:r>
    </w:p>
    <w:p w14:paraId="34F0C747" w14:textId="77777777" w:rsidR="00C15A74" w:rsidRDefault="00C15A74">
      <w:pPr>
        <w:spacing w:line="342" w:lineRule="auto"/>
        <w:ind w:left="-80"/>
        <w:jc w:val="both"/>
        <w:rPr>
          <w:rFonts w:ascii="Cambria" w:eastAsia="Cambria" w:hAnsi="Cambria" w:cs="Cambria"/>
          <w:sz w:val="24"/>
          <w:szCs w:val="24"/>
        </w:rPr>
      </w:pPr>
    </w:p>
    <w:p w14:paraId="1419C989" w14:textId="77777777" w:rsidR="00C15A74" w:rsidRDefault="00000000">
      <w:pPr>
        <w:spacing w:line="342" w:lineRule="auto"/>
        <w:ind w:left="-80"/>
        <w:jc w:val="both"/>
        <w:rPr>
          <w:rFonts w:ascii="Cambria" w:eastAsia="Cambria" w:hAnsi="Cambria" w:cs="Cambria"/>
          <w:sz w:val="24"/>
          <w:szCs w:val="24"/>
        </w:rPr>
      </w:pPr>
      <w:r>
        <w:rPr>
          <w:rFonts w:ascii="Cambria" w:eastAsia="Cambria" w:hAnsi="Cambria" w:cs="Cambria"/>
          <w:sz w:val="24"/>
          <w:szCs w:val="24"/>
        </w:rPr>
        <w:t xml:space="preserve">Т. Blagojević, ‘Animals in the Early Bronze Age Funerary Practice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and Ostojićevo Cemeteries, Serbia’, Animal Husbandry and Hunting in the Central and Western Balkans Through Time, </w:t>
      </w:r>
      <w:proofErr w:type="spellStart"/>
      <w:r>
        <w:rPr>
          <w:rFonts w:ascii="Cambria" w:eastAsia="Cambria" w:hAnsi="Cambria" w:cs="Cambria"/>
          <w:sz w:val="24"/>
          <w:szCs w:val="24"/>
        </w:rPr>
        <w:t>Archaeopress</w:t>
      </w:r>
      <w:proofErr w:type="spellEnd"/>
      <w:r>
        <w:rPr>
          <w:rFonts w:ascii="Cambria" w:eastAsia="Cambria" w:hAnsi="Cambria" w:cs="Cambria"/>
          <w:sz w:val="24"/>
          <w:szCs w:val="24"/>
        </w:rPr>
        <w:t xml:space="preserve">, </w:t>
      </w:r>
      <w:proofErr w:type="gramStart"/>
      <w:r>
        <w:rPr>
          <w:rFonts w:ascii="Cambria" w:eastAsia="Cambria" w:hAnsi="Cambria" w:cs="Cambria"/>
          <w:sz w:val="24"/>
          <w:szCs w:val="24"/>
        </w:rPr>
        <w:t>2020,  80</w:t>
      </w:r>
      <w:proofErr w:type="gramEnd"/>
      <w:r>
        <w:rPr>
          <w:rFonts w:ascii="Cambria" w:eastAsia="Cambria" w:hAnsi="Cambria" w:cs="Cambria"/>
          <w:sz w:val="24"/>
          <w:szCs w:val="24"/>
        </w:rPr>
        <w:t>–92.  doi:10.2307/</w:t>
      </w:r>
      <w:proofErr w:type="gramStart"/>
      <w:r>
        <w:rPr>
          <w:rFonts w:ascii="Cambria" w:eastAsia="Cambria" w:hAnsi="Cambria" w:cs="Cambria"/>
          <w:sz w:val="24"/>
          <w:szCs w:val="24"/>
        </w:rPr>
        <w:t>j.ctv</w:t>
      </w:r>
      <w:proofErr w:type="gramEnd"/>
      <w:r>
        <w:rPr>
          <w:rFonts w:ascii="Cambria" w:eastAsia="Cambria" w:hAnsi="Cambria" w:cs="Cambria"/>
          <w:sz w:val="24"/>
          <w:szCs w:val="24"/>
        </w:rPr>
        <w:t>1bjc3c2.11.</w:t>
      </w:r>
    </w:p>
    <w:p w14:paraId="3C553EF9"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Breiman</w:t>
      </w:r>
      <w:proofErr w:type="spellEnd"/>
      <w:r>
        <w:rPr>
          <w:rFonts w:ascii="Cambria" w:eastAsia="Cambria" w:hAnsi="Cambria" w:cs="Cambria"/>
          <w:sz w:val="24"/>
          <w:szCs w:val="24"/>
        </w:rPr>
        <w:t xml:space="preserve"> 2001</w:t>
      </w:r>
    </w:p>
    <w:p w14:paraId="2D5DA4C2"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L. </w:t>
      </w:r>
      <w:proofErr w:type="spellStart"/>
      <w:r>
        <w:rPr>
          <w:rFonts w:ascii="Cambria" w:eastAsia="Cambria" w:hAnsi="Cambria" w:cs="Cambria"/>
          <w:sz w:val="24"/>
          <w:szCs w:val="24"/>
        </w:rPr>
        <w:t>Breiman</w:t>
      </w:r>
      <w:proofErr w:type="spellEnd"/>
      <w:r>
        <w:rPr>
          <w:rFonts w:ascii="Cambria" w:eastAsia="Cambria" w:hAnsi="Cambria" w:cs="Cambria"/>
          <w:sz w:val="24"/>
          <w:szCs w:val="24"/>
        </w:rPr>
        <w:t>, Random forests, Machine learning 45(1), 2001, 5-32.</w:t>
      </w:r>
    </w:p>
    <w:p w14:paraId="7C867932"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Gaydarska</w:t>
      </w:r>
      <w:proofErr w:type="spellEnd"/>
      <w:r>
        <w:rPr>
          <w:rFonts w:ascii="Cambria" w:eastAsia="Cambria" w:hAnsi="Cambria" w:cs="Cambria"/>
          <w:sz w:val="24"/>
          <w:szCs w:val="24"/>
        </w:rPr>
        <w:t xml:space="preserve"> et al. 2023</w:t>
      </w:r>
    </w:p>
    <w:p w14:paraId="4DE46162"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B. </w:t>
      </w:r>
      <w:proofErr w:type="spellStart"/>
      <w:r>
        <w:rPr>
          <w:rFonts w:ascii="Cambria" w:eastAsia="Cambria" w:hAnsi="Cambria" w:cs="Cambria"/>
          <w:sz w:val="24"/>
          <w:szCs w:val="24"/>
        </w:rPr>
        <w:t>Gaydarska</w:t>
      </w:r>
      <w:proofErr w:type="spellEnd"/>
      <w:r>
        <w:rPr>
          <w:rFonts w:ascii="Cambria" w:eastAsia="Cambria" w:hAnsi="Cambria" w:cs="Cambria"/>
          <w:sz w:val="24"/>
          <w:szCs w:val="24"/>
        </w:rPr>
        <w:t xml:space="preserve">, K. </w:t>
      </w:r>
      <w:proofErr w:type="spellStart"/>
      <w:r>
        <w:rPr>
          <w:rFonts w:ascii="Cambria" w:eastAsia="Cambria" w:hAnsi="Cambria" w:cs="Cambria"/>
          <w:sz w:val="24"/>
          <w:szCs w:val="24"/>
        </w:rPr>
        <w:t>Rebay</w:t>
      </w:r>
      <w:proofErr w:type="spellEnd"/>
      <w:r>
        <w:rPr>
          <w:rFonts w:ascii="Cambria" w:eastAsia="Cambria" w:hAnsi="Cambria" w:cs="Cambria"/>
          <w:sz w:val="24"/>
          <w:szCs w:val="24"/>
        </w:rPr>
        <w:t xml:space="preserve">-Salisbury, P. R. Valiente, J. E. Fries, D. Hofmann, A. </w:t>
      </w:r>
      <w:proofErr w:type="spellStart"/>
      <w:proofErr w:type="gramStart"/>
      <w:r>
        <w:rPr>
          <w:rFonts w:ascii="Cambria" w:eastAsia="Cambria" w:hAnsi="Cambria" w:cs="Cambria"/>
          <w:sz w:val="24"/>
          <w:szCs w:val="24"/>
        </w:rPr>
        <w:t>Augereau</w:t>
      </w:r>
      <w:proofErr w:type="spellEnd"/>
      <w:r>
        <w:rPr>
          <w:rFonts w:ascii="Cambria" w:eastAsia="Cambria" w:hAnsi="Cambria" w:cs="Cambria"/>
          <w:sz w:val="24"/>
          <w:szCs w:val="24"/>
        </w:rPr>
        <w:t>,  J.</w:t>
      </w:r>
      <w:proofErr w:type="gramEnd"/>
      <w:r>
        <w:rPr>
          <w:rFonts w:ascii="Cambria" w:eastAsia="Cambria" w:hAnsi="Cambria" w:cs="Cambria"/>
          <w:sz w:val="24"/>
          <w:szCs w:val="24"/>
        </w:rPr>
        <w:t xml:space="preserve"> Chapman, M. Mina, E. Pape, N. Ialongo D. and </w:t>
      </w:r>
      <w:proofErr w:type="spellStart"/>
      <w:r>
        <w:rPr>
          <w:rFonts w:ascii="Cambria" w:eastAsia="Cambria" w:hAnsi="Cambria" w:cs="Cambria"/>
          <w:sz w:val="24"/>
          <w:szCs w:val="24"/>
        </w:rPr>
        <w:t>Nordholz</w:t>
      </w:r>
      <w:proofErr w:type="spellEnd"/>
      <w:r>
        <w:rPr>
          <w:rFonts w:ascii="Cambria" w:eastAsia="Cambria" w:hAnsi="Cambria" w:cs="Cambria"/>
          <w:sz w:val="24"/>
          <w:szCs w:val="24"/>
        </w:rPr>
        <w:t>, To gender or not to gender? Exploring gender variations through time and space, European Journal of Archaeology, 26(3), 2023, 271-298.</w:t>
      </w:r>
    </w:p>
    <w:p w14:paraId="4D78CDEF"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1959</w:t>
      </w:r>
    </w:p>
    <w:p w14:paraId="2E8121CB"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Grobovi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iz</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ranog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bronzanog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doba</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Ostojićevu</w:t>
      </w:r>
      <w:proofErr w:type="spellEnd"/>
      <w:r>
        <w:rPr>
          <w:rFonts w:ascii="Cambria" w:eastAsia="Cambria" w:hAnsi="Cambria" w:cs="Cambria"/>
          <w:sz w:val="24"/>
          <w:szCs w:val="24"/>
        </w:rPr>
        <w:t xml:space="preserve">, Rad </w:t>
      </w:r>
      <w:proofErr w:type="spellStart"/>
      <w:r>
        <w:rPr>
          <w:rFonts w:ascii="Cambria" w:eastAsia="Cambria" w:hAnsi="Cambria" w:cs="Cambria"/>
          <w:sz w:val="24"/>
          <w:szCs w:val="24"/>
        </w:rPr>
        <w:t>vojvođanskih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muzeja</w:t>
      </w:r>
      <w:proofErr w:type="spellEnd"/>
      <w:r>
        <w:rPr>
          <w:rFonts w:ascii="Cambria" w:eastAsia="Cambria" w:hAnsi="Cambria" w:cs="Cambria"/>
          <w:sz w:val="24"/>
          <w:szCs w:val="24"/>
        </w:rPr>
        <w:t xml:space="preserve"> 8, 1959, 191-194.</w:t>
      </w:r>
    </w:p>
    <w:p w14:paraId="2AFA25AA"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1995</w:t>
      </w:r>
    </w:p>
    <w:p w14:paraId="5983B815"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Pojava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sahranjivanja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dece</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pitosima</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srednjem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bronzanom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dobu</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jugoistočnom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Panonske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nizije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Glasnik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muzeja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Banata</w:t>
      </w:r>
      <w:proofErr w:type="spellEnd"/>
      <w:r>
        <w:rPr>
          <w:rFonts w:ascii="Cambria" w:eastAsia="Cambria" w:hAnsi="Cambria" w:cs="Cambria"/>
          <w:sz w:val="24"/>
          <w:szCs w:val="24"/>
        </w:rPr>
        <w:t xml:space="preserve"> 6, 43-57.</w:t>
      </w:r>
    </w:p>
    <w:p w14:paraId="2D39E8DA"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1971</w:t>
      </w:r>
    </w:p>
    <w:p w14:paraId="21A6CA44"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Girić</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nekropola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bronzanog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doba</w:t>
      </w:r>
      <w:proofErr w:type="spellEnd"/>
      <w:r>
        <w:rPr>
          <w:rFonts w:ascii="Cambria" w:eastAsia="Cambria" w:hAnsi="Cambria" w:cs="Cambria"/>
          <w:sz w:val="24"/>
          <w:szCs w:val="24"/>
        </w:rPr>
        <w:t>. Beograd 1971.</w:t>
      </w:r>
    </w:p>
    <w:p w14:paraId="16AA48BB"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2022</w:t>
      </w:r>
    </w:p>
    <w:p w14:paraId="1DB4DFFD" w14:textId="77777777" w:rsidR="00C15A74" w:rsidRDefault="00000000">
      <w:pPr>
        <w:spacing w:line="360" w:lineRule="auto"/>
        <w:jc w:val="both"/>
        <w:rPr>
          <w:rFonts w:ascii="Cambria" w:eastAsia="Cambria" w:hAnsi="Cambria" w:cs="Cambria"/>
          <w:sz w:val="24"/>
          <w:szCs w:val="24"/>
          <w:highlight w:val="green"/>
        </w:rPr>
      </w:pPr>
      <w:r>
        <w:rPr>
          <w:rFonts w:ascii="Cambria" w:eastAsia="Cambria" w:hAnsi="Cambria" w:cs="Cambria"/>
          <w:sz w:val="24"/>
          <w:szCs w:val="24"/>
        </w:rPr>
        <w:lastRenderedPageBreak/>
        <w:t xml:space="preserve">M.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w:t>
      </w:r>
      <w:proofErr w:type="spellStart"/>
      <w:r>
        <w:rPr>
          <w:rFonts w:ascii="Cambria" w:eastAsia="Cambria" w:hAnsi="Cambria" w:cs="Cambria"/>
          <w:sz w:val="24"/>
          <w:szCs w:val="24"/>
        </w:rPr>
        <w:t>Odnos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zdravstvenog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statusa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društvenog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položaja</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bronzanodopskoj</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kulturi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moriš</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nekropole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w:t>
      </w:r>
      <w:proofErr w:type="spellEnd"/>
      <w:r>
        <w:rPr>
          <w:rFonts w:ascii="Cambria" w:eastAsia="Cambria" w:hAnsi="Cambria" w:cs="Cambria"/>
          <w:sz w:val="24"/>
          <w:szCs w:val="24"/>
        </w:rPr>
        <w:t xml:space="preserve"> Ostojićevo. </w:t>
      </w:r>
      <w:proofErr w:type="spellStart"/>
      <w:r>
        <w:rPr>
          <w:rFonts w:ascii="Cambria" w:eastAsia="Cambria" w:hAnsi="Cambria" w:cs="Cambria"/>
          <w:sz w:val="24"/>
          <w:szCs w:val="24"/>
        </w:rPr>
        <w:t>Doktorska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disertacija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Filozofski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fakultet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Univerzitet</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Beogradu</w:t>
      </w:r>
      <w:proofErr w:type="spellEnd"/>
      <w:r>
        <w:rPr>
          <w:rFonts w:ascii="Cambria" w:eastAsia="Cambria" w:hAnsi="Cambria" w:cs="Cambria"/>
          <w:sz w:val="24"/>
          <w:szCs w:val="24"/>
        </w:rPr>
        <w:t xml:space="preserve"> 2022.</w:t>
      </w:r>
    </w:p>
    <w:p w14:paraId="3F01AD46"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et al. 2025</w:t>
      </w:r>
    </w:p>
    <w:p w14:paraId="3E613165"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M. Radinović, 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and S. Stefanović, Absolute chronology and spatial organization of the Early Bronze Age necropolis in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Radiocarbon 67(2), 2025, 318-330. </w:t>
      </w:r>
    </w:p>
    <w:p w14:paraId="31B0B6CD" w14:textId="77777777" w:rsidR="00C15A74" w:rsidRDefault="00000000">
      <w:pPr>
        <w:jc w:val="both"/>
        <w:rPr>
          <w:rFonts w:ascii="Cambria" w:eastAsia="Cambria" w:hAnsi="Cambria" w:cs="Cambria"/>
          <w:sz w:val="24"/>
          <w:szCs w:val="24"/>
        </w:rPr>
      </w:pP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et al. forthcoming</w:t>
      </w:r>
    </w:p>
    <w:p w14:paraId="63619868" w14:textId="77777777" w:rsidR="00C15A74" w:rsidRDefault="00000000">
      <w:pPr>
        <w:spacing w:before="240" w:after="240"/>
        <w:jc w:val="both"/>
        <w:rPr>
          <w:rFonts w:ascii="Cambria" w:eastAsia="Cambria" w:hAnsi="Cambria" w:cs="Cambria"/>
          <w:i/>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 Gavrilović, 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M. Marin, M. Amzirkov, T. </w:t>
      </w:r>
      <w:proofErr w:type="spellStart"/>
      <w:r>
        <w:rPr>
          <w:rFonts w:ascii="Cambria" w:eastAsia="Cambria" w:hAnsi="Cambria" w:cs="Cambria"/>
          <w:sz w:val="24"/>
          <w:szCs w:val="24"/>
        </w:rPr>
        <w:t>Radišić</w:t>
      </w:r>
      <w:proofErr w:type="spellEnd"/>
      <w:r>
        <w:rPr>
          <w:rFonts w:ascii="Cambria" w:eastAsia="Cambria" w:hAnsi="Cambria" w:cs="Cambria"/>
          <w:sz w:val="24"/>
          <w:szCs w:val="24"/>
        </w:rPr>
        <w:t xml:space="preserve"> and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Continuity over Hiatus: New Radiocarbon Evidence from the Ostojićevo Necropolis, </w:t>
      </w:r>
      <w:r>
        <w:rPr>
          <w:rFonts w:ascii="Cambria" w:eastAsia="Cambria" w:hAnsi="Cambria" w:cs="Cambria"/>
          <w:i/>
          <w:sz w:val="24"/>
          <w:szCs w:val="24"/>
        </w:rPr>
        <w:t>forthcoming</w:t>
      </w:r>
    </w:p>
    <w:p w14:paraId="3220C7FE"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Kristiansen 2014</w:t>
      </w:r>
    </w:p>
    <w:p w14:paraId="2EA51891"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K. Kristiansen, Towards a new paradigm? The third science revolution and its possible consequences in archaeology, Current Swedish Archaeology, </w:t>
      </w:r>
      <w:r>
        <w:rPr>
          <w:rFonts w:ascii="Cambria" w:eastAsia="Cambria" w:hAnsi="Cambria" w:cs="Cambria"/>
          <w:i/>
          <w:sz w:val="24"/>
          <w:szCs w:val="24"/>
        </w:rPr>
        <w:t>22</w:t>
      </w:r>
      <w:r>
        <w:rPr>
          <w:rFonts w:ascii="Cambria" w:eastAsia="Cambria" w:hAnsi="Cambria" w:cs="Cambria"/>
          <w:sz w:val="24"/>
          <w:szCs w:val="24"/>
        </w:rPr>
        <w:t>(1), 2014, 11-34.</w:t>
      </w:r>
    </w:p>
    <w:p w14:paraId="0EAC3C7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Kristiansen 2022</w:t>
      </w:r>
    </w:p>
    <w:p w14:paraId="0099114E"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K. Kristiansen, Archaeology and the genetic revolution in European prehistory. Cambridge 2022.</w:t>
      </w:r>
    </w:p>
    <w:p w14:paraId="0B398FEB"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Liaw and Wiener 2002</w:t>
      </w:r>
    </w:p>
    <w:p w14:paraId="3A52CECA"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A. Liaw and M. Wiener, Classification and Regression by </w:t>
      </w:r>
      <w:proofErr w:type="spellStart"/>
      <w:r>
        <w:rPr>
          <w:rFonts w:ascii="Cambria" w:eastAsia="Cambria" w:hAnsi="Cambria" w:cs="Cambria"/>
          <w:sz w:val="24"/>
          <w:szCs w:val="24"/>
        </w:rPr>
        <w:t>randomForest</w:t>
      </w:r>
      <w:proofErr w:type="spellEnd"/>
      <w:r>
        <w:rPr>
          <w:rFonts w:ascii="Cambria" w:eastAsia="Cambria" w:hAnsi="Cambria" w:cs="Cambria"/>
          <w:sz w:val="24"/>
          <w:szCs w:val="24"/>
        </w:rPr>
        <w:t>, R News 2(3), 2002, 18-22.</w:t>
      </w:r>
    </w:p>
    <w:p w14:paraId="15D3E501"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Le, Josse and Husson 2008</w:t>
      </w:r>
    </w:p>
    <w:p w14:paraId="7D050969"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S. Le, J. Josse and F. Husson, </w:t>
      </w:r>
      <w:proofErr w:type="spellStart"/>
      <w:r>
        <w:rPr>
          <w:rFonts w:ascii="Cambria" w:eastAsia="Cambria" w:hAnsi="Cambria" w:cs="Cambria"/>
          <w:sz w:val="24"/>
          <w:szCs w:val="24"/>
        </w:rPr>
        <w:t>FactoMineR</w:t>
      </w:r>
      <w:proofErr w:type="spellEnd"/>
      <w:r>
        <w:rPr>
          <w:rFonts w:ascii="Cambria" w:eastAsia="Cambria" w:hAnsi="Cambria" w:cs="Cambria"/>
          <w:sz w:val="24"/>
          <w:szCs w:val="24"/>
        </w:rPr>
        <w:t xml:space="preserve">: An R Package for Multivariate Analysis, Journal of Statistical Software, 25(1), 2008, 1-18. </w:t>
      </w:r>
    </w:p>
    <w:p w14:paraId="45470E3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Lovejoy 1985</w:t>
      </w:r>
    </w:p>
    <w:p w14:paraId="51F9EED5" w14:textId="77777777" w:rsidR="00C15A74" w:rsidRDefault="00000000">
      <w:pPr>
        <w:spacing w:line="342" w:lineRule="auto"/>
        <w:ind w:left="-80"/>
        <w:jc w:val="both"/>
        <w:rPr>
          <w:rFonts w:ascii="Cambria" w:eastAsia="Cambria" w:hAnsi="Cambria" w:cs="Cambria"/>
          <w:sz w:val="24"/>
          <w:szCs w:val="24"/>
        </w:rPr>
      </w:pPr>
      <w:r>
        <w:rPr>
          <w:rFonts w:ascii="Cambria" w:eastAsia="Cambria" w:hAnsi="Cambria" w:cs="Cambria"/>
          <w:sz w:val="24"/>
          <w:szCs w:val="24"/>
        </w:rPr>
        <w:t xml:space="preserve"> C. O. Lovejoy, Dental wear in the </w:t>
      </w:r>
      <w:proofErr w:type="spellStart"/>
      <w:r>
        <w:rPr>
          <w:rFonts w:ascii="Cambria" w:eastAsia="Cambria" w:hAnsi="Cambria" w:cs="Cambria"/>
          <w:sz w:val="24"/>
          <w:szCs w:val="24"/>
        </w:rPr>
        <w:t>Libben</w:t>
      </w:r>
      <w:proofErr w:type="spellEnd"/>
      <w:r>
        <w:rPr>
          <w:rFonts w:ascii="Cambria" w:eastAsia="Cambria" w:hAnsi="Cambria" w:cs="Cambria"/>
          <w:sz w:val="24"/>
          <w:szCs w:val="24"/>
        </w:rPr>
        <w:t xml:space="preserve"> population: Its functional pattern and role in the determination of adult skeletal age at death, American Journal of Physical Anthropology 68, 1985, 47–56.</w:t>
      </w:r>
    </w:p>
    <w:p w14:paraId="7C4C55D0"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lastRenderedPageBreak/>
        <w:t>Lovejoy et al. 1985</w:t>
      </w:r>
    </w:p>
    <w:p w14:paraId="1785171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C. O. Lovejoy, R. S. Meindl, T. R. </w:t>
      </w:r>
      <w:proofErr w:type="spellStart"/>
      <w:r>
        <w:rPr>
          <w:rFonts w:ascii="Cambria" w:eastAsia="Cambria" w:hAnsi="Cambria" w:cs="Cambria"/>
          <w:sz w:val="24"/>
          <w:szCs w:val="24"/>
        </w:rPr>
        <w:t>Pryzbeck</w:t>
      </w:r>
      <w:proofErr w:type="spellEnd"/>
      <w:r>
        <w:rPr>
          <w:rFonts w:ascii="Cambria" w:eastAsia="Cambria" w:hAnsi="Cambria" w:cs="Cambria"/>
          <w:sz w:val="24"/>
          <w:szCs w:val="24"/>
        </w:rPr>
        <w:t xml:space="preserve"> and R. P. </w:t>
      </w:r>
      <w:proofErr w:type="spellStart"/>
      <w:r>
        <w:rPr>
          <w:rFonts w:ascii="Cambria" w:eastAsia="Cambria" w:hAnsi="Cambria" w:cs="Cambria"/>
          <w:sz w:val="24"/>
          <w:szCs w:val="24"/>
        </w:rPr>
        <w:t>Mensforth</w:t>
      </w:r>
      <w:proofErr w:type="spellEnd"/>
      <w:r>
        <w:rPr>
          <w:rFonts w:ascii="Cambria" w:eastAsia="Cambria" w:hAnsi="Cambria" w:cs="Cambria"/>
          <w:sz w:val="24"/>
          <w:szCs w:val="24"/>
        </w:rPr>
        <w:t>, Chronological metamorphosis of the auricular surface of the ilium: A new method for the determination of adult skeletal age at death, American Journal of Physical Anthropology 68, 1985, 15–28.</w:t>
      </w:r>
    </w:p>
    <w:p w14:paraId="67D43B1A"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Marin et al. 2024</w:t>
      </w:r>
    </w:p>
    <w:p w14:paraId="53EC3B8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M. Marin, 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B. Petrović,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&amp; S. Stefanović, C</w:t>
      </w:r>
      <w:r>
        <w:rPr>
          <w:rFonts w:ascii="Cambria" w:eastAsia="Cambria" w:hAnsi="Cambria" w:cs="Cambria"/>
        </w:rPr>
        <w:t xml:space="preserve">hild Burials in Vessels at the Middle Bronze Age Necropolis in Ostojićevo (1650–1550 BC), </w:t>
      </w:r>
      <w:proofErr w:type="spellStart"/>
      <w:r>
        <w:rPr>
          <w:rFonts w:ascii="Cambria" w:eastAsia="Cambria" w:hAnsi="Cambria" w:cs="Cambria"/>
        </w:rPr>
        <w:t>Etnoantropološki</w:t>
      </w:r>
      <w:proofErr w:type="spellEnd"/>
      <w:r>
        <w:rPr>
          <w:rFonts w:ascii="Cambria" w:eastAsia="Cambria" w:hAnsi="Cambria" w:cs="Cambria"/>
        </w:rPr>
        <w:t xml:space="preserve"> </w:t>
      </w:r>
      <w:proofErr w:type="spellStart"/>
      <w:r>
        <w:rPr>
          <w:rFonts w:ascii="Cambria" w:eastAsia="Cambria" w:hAnsi="Cambria" w:cs="Cambria"/>
        </w:rPr>
        <w:t>problemi</w:t>
      </w:r>
      <w:proofErr w:type="spellEnd"/>
      <w:r>
        <w:rPr>
          <w:rFonts w:ascii="Cambria" w:eastAsia="Cambria" w:hAnsi="Cambria" w:cs="Cambria"/>
        </w:rPr>
        <w:t xml:space="preserve"> 19(3), 801-819.</w:t>
      </w:r>
    </w:p>
    <w:p w14:paraId="28B5414D"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Marshall 2013</w:t>
      </w:r>
    </w:p>
    <w:p w14:paraId="4C96FFD6"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Y. Marshall, Personhood in Prehistory: A Feminist Archaeology in Ten Persons. In: D. Bolger (ed.), A Companion to gender Prehistory, Oxford 2013, 204-225. </w:t>
      </w:r>
    </w:p>
    <w:p w14:paraId="57E19EEA"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Matić 2012</w:t>
      </w:r>
    </w:p>
    <w:p w14:paraId="059A5F9D" w14:textId="77777777" w:rsidR="00C15A74" w:rsidRDefault="00C15A74">
      <w:pPr>
        <w:jc w:val="both"/>
        <w:rPr>
          <w:rFonts w:ascii="Cambria" w:eastAsia="Cambria" w:hAnsi="Cambria" w:cs="Cambria"/>
          <w:sz w:val="24"/>
          <w:szCs w:val="24"/>
        </w:rPr>
      </w:pPr>
    </w:p>
    <w:p w14:paraId="0E52AD08"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U. </w:t>
      </w:r>
      <w:proofErr w:type="gramStart"/>
      <w:r>
        <w:rPr>
          <w:rFonts w:ascii="Cambria" w:eastAsia="Cambria" w:hAnsi="Cambria" w:cs="Cambria"/>
          <w:sz w:val="24"/>
          <w:szCs w:val="24"/>
        </w:rPr>
        <w:t>Matić,  ‘</w:t>
      </w:r>
      <w:proofErr w:type="gramEnd"/>
      <w:r>
        <w:rPr>
          <w:rFonts w:ascii="Cambria" w:eastAsia="Cambria" w:hAnsi="Cambria" w:cs="Cambria"/>
          <w:sz w:val="24"/>
          <w:szCs w:val="24"/>
        </w:rPr>
        <w:t xml:space="preserve">To Queer or Not </w:t>
      </w:r>
      <w:proofErr w:type="gramStart"/>
      <w:r>
        <w:rPr>
          <w:rFonts w:ascii="Cambria" w:eastAsia="Cambria" w:hAnsi="Cambria" w:cs="Cambria"/>
          <w:sz w:val="24"/>
          <w:szCs w:val="24"/>
        </w:rPr>
        <w:t>To</w:t>
      </w:r>
      <w:proofErr w:type="gramEnd"/>
      <w:r>
        <w:rPr>
          <w:rFonts w:ascii="Cambria" w:eastAsia="Cambria" w:hAnsi="Cambria" w:cs="Cambria"/>
          <w:sz w:val="24"/>
          <w:szCs w:val="24"/>
        </w:rPr>
        <w:t xml:space="preserve"> Queer? That Is the Question: Sex/Gender, Prestige and Burial No. 10 on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Dacia (</w:t>
      </w:r>
      <w:proofErr w:type="spellStart"/>
      <w:r>
        <w:rPr>
          <w:rFonts w:ascii="Cambria" w:eastAsia="Cambria" w:hAnsi="Cambria" w:cs="Cambria"/>
          <w:sz w:val="24"/>
          <w:szCs w:val="24"/>
        </w:rPr>
        <w:t>Bucureşti</w:t>
      </w:r>
      <w:proofErr w:type="spellEnd"/>
      <w:r>
        <w:rPr>
          <w:rFonts w:ascii="Cambria" w:eastAsia="Cambria" w:hAnsi="Cambria" w:cs="Cambria"/>
          <w:sz w:val="24"/>
          <w:szCs w:val="24"/>
        </w:rPr>
        <w:t>), 56(10), 2012, 169–185.</w:t>
      </w:r>
    </w:p>
    <w:p w14:paraId="14C4B8B7"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2008</w:t>
      </w:r>
    </w:p>
    <w:p w14:paraId="59EF0FC8" w14:textId="77777777" w:rsidR="00C15A74" w:rsidRDefault="00000000">
      <w:pPr>
        <w:spacing w:line="360" w:lineRule="auto"/>
        <w:jc w:val="both"/>
        <w:rPr>
          <w:rFonts w:ascii="Cambria" w:eastAsia="Cambria" w:hAnsi="Cambria" w:cs="Cambria"/>
          <w:sz w:val="24"/>
          <w:szCs w:val="24"/>
        </w:rPr>
      </w:pPr>
      <w:r>
        <w:rPr>
          <w:rFonts w:ascii="Cambria" w:eastAsia="Cambria" w:hAnsi="Cambria" w:cs="Cambria"/>
          <w:sz w:val="24"/>
          <w:szCs w:val="24"/>
        </w:rPr>
        <w:t xml:space="preserve">Л. </w:t>
      </w: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Гробови</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Моришке</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културе</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некрополе</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бронзаног</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доба</w:t>
      </w:r>
      <w:proofErr w:type="spellEnd"/>
      <w:r>
        <w:rPr>
          <w:rFonts w:ascii="Cambria" w:eastAsia="Cambria" w:hAnsi="Cambria" w:cs="Cambria"/>
          <w:sz w:val="24"/>
          <w:szCs w:val="24"/>
        </w:rPr>
        <w:t xml:space="preserve"> у </w:t>
      </w:r>
      <w:proofErr w:type="spellStart"/>
      <w:r>
        <w:rPr>
          <w:rFonts w:ascii="Cambria" w:eastAsia="Cambria" w:hAnsi="Cambria" w:cs="Cambria"/>
          <w:sz w:val="24"/>
          <w:szCs w:val="24"/>
        </w:rPr>
        <w:t>Остојићеву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Магистарски</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рад</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Филозофски</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факултет</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Универзитет</w:t>
      </w:r>
      <w:proofErr w:type="spellEnd"/>
      <w:r>
        <w:rPr>
          <w:rFonts w:ascii="Cambria" w:eastAsia="Cambria" w:hAnsi="Cambria" w:cs="Cambria"/>
          <w:sz w:val="24"/>
          <w:szCs w:val="24"/>
        </w:rPr>
        <w:t xml:space="preserve"> у </w:t>
      </w:r>
      <w:proofErr w:type="spellStart"/>
      <w:r>
        <w:rPr>
          <w:rFonts w:ascii="Cambria" w:eastAsia="Cambria" w:hAnsi="Cambria" w:cs="Cambria"/>
          <w:sz w:val="24"/>
          <w:szCs w:val="24"/>
        </w:rPr>
        <w:t>Београду</w:t>
      </w:r>
      <w:proofErr w:type="spellEnd"/>
      <w:r>
        <w:rPr>
          <w:rFonts w:ascii="Cambria" w:eastAsia="Cambria" w:hAnsi="Cambria" w:cs="Cambria"/>
          <w:sz w:val="24"/>
          <w:szCs w:val="24"/>
        </w:rPr>
        <w:t xml:space="preserve"> 2008.</w:t>
      </w:r>
    </w:p>
    <w:p w14:paraId="433D5A8D" w14:textId="77777777" w:rsidR="00C15A74" w:rsidRDefault="00000000">
      <w:pPr>
        <w:spacing w:before="240" w:after="240"/>
        <w:jc w:val="both"/>
        <w:rPr>
          <w:rFonts w:ascii="Cambria" w:eastAsia="Cambria" w:hAnsi="Cambria" w:cs="Cambria"/>
          <w:sz w:val="24"/>
          <w:szCs w:val="24"/>
        </w:rPr>
      </w:pP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2009</w:t>
      </w:r>
    </w:p>
    <w:p w14:paraId="23C7A678"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Л. </w:t>
      </w:r>
      <w:proofErr w:type="spellStart"/>
      <w:r>
        <w:rPr>
          <w:rFonts w:ascii="Cambria" w:eastAsia="Cambria" w:hAnsi="Cambria" w:cs="Cambria"/>
          <w:sz w:val="24"/>
          <w:szCs w:val="24"/>
        </w:rPr>
        <w:t>Милашиновић</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Осврт</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могућу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реконструкцију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друштвене</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структуре</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моришком</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слоју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некрополе</w:t>
      </w:r>
      <w:proofErr w:type="spellEnd"/>
      <w:r>
        <w:rPr>
          <w:rFonts w:ascii="Cambria" w:eastAsia="Cambria" w:hAnsi="Cambria" w:cs="Cambria"/>
          <w:sz w:val="24"/>
          <w:szCs w:val="24"/>
        </w:rPr>
        <w:t xml:space="preserve"> у </w:t>
      </w:r>
      <w:proofErr w:type="spellStart"/>
      <w:r>
        <w:rPr>
          <w:rFonts w:ascii="Cambria" w:eastAsia="Cambria" w:hAnsi="Cambria" w:cs="Cambria"/>
          <w:sz w:val="24"/>
          <w:szCs w:val="24"/>
        </w:rPr>
        <w:t>Остојићеву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Рад</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музеја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Војводине</w:t>
      </w:r>
      <w:proofErr w:type="spellEnd"/>
      <w:r>
        <w:rPr>
          <w:rFonts w:ascii="Cambria" w:eastAsia="Cambria" w:hAnsi="Cambria" w:cs="Cambria"/>
          <w:sz w:val="24"/>
          <w:szCs w:val="24"/>
        </w:rPr>
        <w:t xml:space="preserve"> 51, 2008, 65-70.</w:t>
      </w:r>
    </w:p>
    <w:p w14:paraId="3D4A1BDE" w14:textId="77777777" w:rsidR="00C15A74" w:rsidRDefault="00000000">
      <w:pPr>
        <w:jc w:val="both"/>
        <w:rPr>
          <w:rFonts w:ascii="Cambria" w:eastAsia="Cambria" w:hAnsi="Cambria" w:cs="Cambria"/>
          <w:sz w:val="24"/>
          <w:szCs w:val="24"/>
        </w:rPr>
      </w:pP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Kapuran</w:t>
      </w:r>
      <w:proofErr w:type="spellEnd"/>
      <w:r>
        <w:rPr>
          <w:rFonts w:ascii="Cambria" w:eastAsia="Cambria" w:hAnsi="Cambria" w:cs="Cambria"/>
          <w:sz w:val="24"/>
          <w:szCs w:val="24"/>
        </w:rPr>
        <w:t xml:space="preserve"> and Bulatović 2024</w:t>
      </w:r>
    </w:p>
    <w:p w14:paraId="5F1BD80E" w14:textId="77777777" w:rsidR="00C15A74" w:rsidRDefault="00C15A74">
      <w:pPr>
        <w:jc w:val="both"/>
        <w:rPr>
          <w:rFonts w:ascii="Cambria" w:eastAsia="Cambria" w:hAnsi="Cambria" w:cs="Cambria"/>
          <w:sz w:val="24"/>
          <w:szCs w:val="24"/>
        </w:rPr>
      </w:pPr>
    </w:p>
    <w:p w14:paraId="4A3C8B12" w14:textId="77777777" w:rsidR="00C15A74" w:rsidRDefault="00000000">
      <w:pPr>
        <w:jc w:val="both"/>
        <w:rPr>
          <w:rFonts w:ascii="Cambria" w:eastAsia="Cambria" w:hAnsi="Cambria" w:cs="Cambria"/>
          <w:sz w:val="24"/>
          <w:szCs w:val="24"/>
          <w:highlight w:val="green"/>
        </w:rPr>
      </w:pPr>
      <w:r>
        <w:rPr>
          <w:rFonts w:ascii="Cambria" w:eastAsia="Cambria" w:hAnsi="Cambria" w:cs="Cambria"/>
          <w:sz w:val="24"/>
          <w:szCs w:val="24"/>
        </w:rPr>
        <w:t xml:space="preserve">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A. </w:t>
      </w:r>
      <w:proofErr w:type="spellStart"/>
      <w:r>
        <w:rPr>
          <w:rFonts w:ascii="Cambria" w:eastAsia="Cambria" w:hAnsi="Cambria" w:cs="Cambria"/>
          <w:sz w:val="24"/>
          <w:szCs w:val="24"/>
        </w:rPr>
        <w:t>Kapuran</w:t>
      </w:r>
      <w:proofErr w:type="spellEnd"/>
      <w:r>
        <w:rPr>
          <w:rFonts w:ascii="Cambria" w:eastAsia="Cambria" w:hAnsi="Cambria" w:cs="Cambria"/>
          <w:sz w:val="24"/>
          <w:szCs w:val="24"/>
        </w:rPr>
        <w:t xml:space="preserve">, A. Bulatović, Stari </w:t>
      </w:r>
      <w:proofErr w:type="spellStart"/>
      <w:r>
        <w:rPr>
          <w:rFonts w:ascii="Cambria" w:eastAsia="Cambria" w:hAnsi="Cambria" w:cs="Cambria"/>
          <w:sz w:val="24"/>
          <w:szCs w:val="24"/>
        </w:rPr>
        <w:t>Vinogradi</w:t>
      </w:r>
      <w:proofErr w:type="spellEnd"/>
      <w:r>
        <w:rPr>
          <w:rFonts w:ascii="Cambria" w:eastAsia="Cambria" w:hAnsi="Cambria" w:cs="Cambria"/>
          <w:sz w:val="24"/>
          <w:szCs w:val="24"/>
        </w:rPr>
        <w:t xml:space="preserve"> - Bronze Age necropolis in Ostojićevo (Kikinda), СТАРИНАР LXXIV, 2024, 59-96.</w:t>
      </w:r>
      <w:r>
        <w:rPr>
          <w:rFonts w:ascii="Cambria" w:eastAsia="Cambria" w:hAnsi="Cambria" w:cs="Cambria"/>
          <w:sz w:val="24"/>
          <w:szCs w:val="24"/>
          <w:highlight w:val="green"/>
        </w:rPr>
        <w:t xml:space="preserve"> </w:t>
      </w:r>
    </w:p>
    <w:p w14:paraId="0FB0004B"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O’Shea 1992</w:t>
      </w:r>
    </w:p>
    <w:p w14:paraId="6E07ED0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J. O’Shea, Radiocarbon-based chronology for the Maros group of Southeast Hungary, Antiquity 66(250), 1992, 97-102. </w:t>
      </w:r>
    </w:p>
    <w:p w14:paraId="411DE137"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O’Shea 1996</w:t>
      </w:r>
    </w:p>
    <w:p w14:paraId="3255DE90"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lastRenderedPageBreak/>
        <w:t xml:space="preserve">J. O’Shea, Villagers of the Maros: </w:t>
      </w:r>
      <w:proofErr w:type="gramStart"/>
      <w:r>
        <w:rPr>
          <w:rFonts w:ascii="Cambria" w:eastAsia="Cambria" w:hAnsi="Cambria" w:cs="Cambria"/>
          <w:sz w:val="24"/>
          <w:szCs w:val="24"/>
        </w:rPr>
        <w:t>a</w:t>
      </w:r>
      <w:proofErr w:type="gramEnd"/>
      <w:r>
        <w:rPr>
          <w:rFonts w:ascii="Cambria" w:eastAsia="Cambria" w:hAnsi="Cambria" w:cs="Cambria"/>
          <w:sz w:val="24"/>
          <w:szCs w:val="24"/>
        </w:rPr>
        <w:t xml:space="preserve"> Portrait of an Early Bronze Age Society. New York &amp; London, 1996.</w:t>
      </w:r>
    </w:p>
    <w:p w14:paraId="2347FD27"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O’Shea 2019 et al.</w:t>
      </w:r>
    </w:p>
    <w:p w14:paraId="1BC7758C"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J. O’Shea, G. Parditka, A. Nicodemus, K. Kristiansen, K.G </w:t>
      </w:r>
      <w:proofErr w:type="spellStart"/>
      <w:r>
        <w:rPr>
          <w:rFonts w:ascii="Cambria" w:eastAsia="Cambria" w:hAnsi="Cambria" w:cs="Cambria"/>
          <w:sz w:val="24"/>
          <w:szCs w:val="24"/>
        </w:rPr>
        <w:t>Sjorgen</w:t>
      </w:r>
      <w:proofErr w:type="spellEnd"/>
      <w:r>
        <w:rPr>
          <w:rFonts w:ascii="Cambria" w:eastAsia="Cambria" w:hAnsi="Cambria" w:cs="Cambria"/>
          <w:sz w:val="24"/>
          <w:szCs w:val="24"/>
        </w:rPr>
        <w:t xml:space="preserve">, L. Paja, G. Palfi and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Social formation and collapse in the Tisza-Maros region: dating the Maros Group and its Late Bronze Age successors, Antiquity 93(369), 2019, 604-623.</w:t>
      </w:r>
    </w:p>
    <w:p w14:paraId="4DF52E10"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Pompeani 2020</w:t>
      </w:r>
    </w:p>
    <w:p w14:paraId="51F4EA1D"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K. Pompeani, The </w:t>
      </w:r>
      <w:proofErr w:type="spellStart"/>
      <w:r>
        <w:rPr>
          <w:rFonts w:ascii="Cambria" w:eastAsia="Cambria" w:hAnsi="Cambria" w:cs="Cambria"/>
          <w:sz w:val="24"/>
          <w:szCs w:val="24"/>
        </w:rPr>
        <w:t>Bioarchaeology</w:t>
      </w:r>
      <w:proofErr w:type="spellEnd"/>
      <w:r>
        <w:rPr>
          <w:rFonts w:ascii="Cambria" w:eastAsia="Cambria" w:hAnsi="Cambria" w:cs="Cambria"/>
          <w:sz w:val="24"/>
          <w:szCs w:val="24"/>
        </w:rPr>
        <w:t xml:space="preserve"> of Life, Death and Social Status in the Early Bronze Age Community at Ostojićevo, Serbia, Doctoral Dissertation, University of Pittsburgh, 2020. </w:t>
      </w:r>
    </w:p>
    <w:p w14:paraId="3BC62D42"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Parker Pearson 1999</w:t>
      </w:r>
    </w:p>
    <w:p w14:paraId="3CC304D5"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209D40A3"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М. Parker-</w:t>
      </w:r>
      <w:proofErr w:type="gramStart"/>
      <w:r>
        <w:rPr>
          <w:rFonts w:ascii="Cambria" w:eastAsia="Cambria" w:hAnsi="Cambria" w:cs="Cambria"/>
          <w:sz w:val="24"/>
          <w:szCs w:val="24"/>
        </w:rPr>
        <w:t>Pearson,  The</w:t>
      </w:r>
      <w:proofErr w:type="gramEnd"/>
      <w:r>
        <w:rPr>
          <w:rFonts w:ascii="Cambria" w:eastAsia="Cambria" w:hAnsi="Cambria" w:cs="Cambria"/>
          <w:sz w:val="24"/>
          <w:szCs w:val="24"/>
        </w:rPr>
        <w:t xml:space="preserve"> archaeology of death and burial. Phoenix Mill, UK: Sutton 1999.</w:t>
      </w:r>
    </w:p>
    <w:p w14:paraId="4BC57E36" w14:textId="77777777" w:rsidR="00C15A74" w:rsidRDefault="00C15A74">
      <w:pPr>
        <w:jc w:val="both"/>
        <w:rPr>
          <w:rFonts w:ascii="Cambria" w:eastAsia="Cambria" w:hAnsi="Cambria" w:cs="Cambria"/>
          <w:sz w:val="24"/>
          <w:szCs w:val="24"/>
        </w:rPr>
      </w:pPr>
    </w:p>
    <w:p w14:paraId="7287C504" w14:textId="77777777" w:rsidR="00C15A74" w:rsidRDefault="00000000">
      <w:pPr>
        <w:jc w:val="both"/>
        <w:rPr>
          <w:rFonts w:ascii="Cambria" w:eastAsia="Cambria" w:hAnsi="Cambria" w:cs="Cambria"/>
          <w:sz w:val="24"/>
          <w:szCs w:val="24"/>
        </w:rPr>
      </w:pPr>
      <w:proofErr w:type="spellStart"/>
      <w:r>
        <w:rPr>
          <w:rFonts w:ascii="Cambria" w:eastAsia="Cambria" w:hAnsi="Cambria" w:cs="Cambria"/>
          <w:sz w:val="24"/>
          <w:szCs w:val="24"/>
        </w:rPr>
        <w:t>Порчић</w:t>
      </w:r>
      <w:proofErr w:type="spellEnd"/>
      <w:r>
        <w:rPr>
          <w:rFonts w:ascii="Cambria" w:eastAsia="Cambria" w:hAnsi="Cambria" w:cs="Cambria"/>
          <w:sz w:val="24"/>
          <w:szCs w:val="24"/>
        </w:rPr>
        <w:t xml:space="preserve"> 2010</w:t>
      </w:r>
    </w:p>
    <w:p w14:paraId="5D9E1DC4"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15E8D706"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Порчић</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Антропологија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рода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праисторијских</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популација</w:t>
      </w:r>
      <w:proofErr w:type="spellEnd"/>
      <w:r>
        <w:rPr>
          <w:rFonts w:ascii="Cambria" w:eastAsia="Cambria" w:hAnsi="Cambria" w:cs="Cambria"/>
          <w:sz w:val="24"/>
          <w:szCs w:val="24"/>
        </w:rPr>
        <w:t xml:space="preserve">: </w:t>
      </w:r>
      <w:proofErr w:type="spellStart"/>
      <w:proofErr w:type="gramStart"/>
      <w:r>
        <w:rPr>
          <w:rFonts w:ascii="Cambria" w:eastAsia="Cambria" w:hAnsi="Cambria" w:cs="Cambria"/>
          <w:sz w:val="24"/>
          <w:szCs w:val="24"/>
        </w:rPr>
        <w:t>Случај</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погрешно</w:t>
      </w:r>
      <w:proofErr w:type="spellEnd"/>
      <w:proofErr w:type="gramEnd"/>
      <w:r>
        <w:rPr>
          <w:rFonts w:ascii="Cambria" w:eastAsia="Cambria" w:hAnsi="Cambria" w:cs="Cambria"/>
          <w:sz w:val="24"/>
          <w:szCs w:val="24"/>
        </w:rPr>
        <w:t xml:space="preserve">” </w:t>
      </w:r>
      <w:proofErr w:type="spellStart"/>
      <w:r>
        <w:rPr>
          <w:rFonts w:ascii="Cambria" w:eastAsia="Cambria" w:hAnsi="Cambria" w:cs="Cambria"/>
          <w:sz w:val="24"/>
          <w:szCs w:val="24"/>
        </w:rPr>
        <w:t>оријентисаних</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гробова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мокринској</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некрополи</w:t>
      </w:r>
      <w:proofErr w:type="spellEnd"/>
      <w:r>
        <w:rPr>
          <w:rFonts w:ascii="Cambria" w:eastAsia="Cambria" w:hAnsi="Cambria" w:cs="Cambria"/>
          <w:sz w:val="24"/>
          <w:szCs w:val="24"/>
        </w:rPr>
        <w:t xml:space="preserve">. </w:t>
      </w:r>
      <w:proofErr w:type="spellStart"/>
      <w:r>
        <w:rPr>
          <w:rFonts w:ascii="Cambria" w:eastAsia="Cambria" w:hAnsi="Cambria" w:cs="Cambria"/>
          <w:i/>
          <w:sz w:val="24"/>
          <w:szCs w:val="24"/>
        </w:rPr>
        <w:t>Етноантрополошки</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проблеми</w:t>
      </w:r>
      <w:proofErr w:type="spellEnd"/>
      <w:r>
        <w:rPr>
          <w:rFonts w:ascii="Cambria" w:eastAsia="Cambria" w:hAnsi="Cambria" w:cs="Cambria"/>
          <w:sz w:val="24"/>
          <w:szCs w:val="24"/>
        </w:rPr>
        <w:t xml:space="preserve"> 5(1), 2010, 165–182.</w:t>
      </w:r>
    </w:p>
    <w:p w14:paraId="208DCD75" w14:textId="77777777" w:rsidR="00C15A74" w:rsidRDefault="00C15A74">
      <w:pPr>
        <w:jc w:val="both"/>
        <w:rPr>
          <w:rFonts w:ascii="Cambria" w:eastAsia="Cambria" w:hAnsi="Cambria" w:cs="Cambria"/>
          <w:sz w:val="24"/>
          <w:szCs w:val="24"/>
        </w:rPr>
      </w:pPr>
    </w:p>
    <w:p w14:paraId="7B0FD7E5" w14:textId="77777777" w:rsidR="00C15A74" w:rsidRDefault="00000000">
      <w:pPr>
        <w:jc w:val="both"/>
        <w:rPr>
          <w:rFonts w:ascii="Cambria" w:eastAsia="Cambria" w:hAnsi="Cambria" w:cs="Cambria"/>
          <w:sz w:val="24"/>
          <w:szCs w:val="24"/>
        </w:rPr>
      </w:pP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and Stefanović 2009</w:t>
      </w:r>
    </w:p>
    <w:p w14:paraId="29DA5697"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3838B5FF"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and S. </w:t>
      </w:r>
      <w:proofErr w:type="gramStart"/>
      <w:r>
        <w:rPr>
          <w:rFonts w:ascii="Cambria" w:eastAsia="Cambria" w:hAnsi="Cambria" w:cs="Cambria"/>
          <w:sz w:val="24"/>
          <w:szCs w:val="24"/>
        </w:rPr>
        <w:t>Stefanović,  ‘</w:t>
      </w:r>
      <w:proofErr w:type="gramEnd"/>
      <w:r>
        <w:rPr>
          <w:rFonts w:ascii="Cambria" w:eastAsia="Cambria" w:hAnsi="Cambria" w:cs="Cambria"/>
          <w:sz w:val="24"/>
          <w:szCs w:val="24"/>
        </w:rPr>
        <w:t xml:space="preserve">Physical activity and social status in Early Bronze Age society: The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necropolis’, Journal of Anthropological Archaeology, 28(3), 2009, 259–273. </w:t>
      </w:r>
      <w:proofErr w:type="gramStart"/>
      <w:r>
        <w:rPr>
          <w:rFonts w:ascii="Cambria" w:eastAsia="Cambria" w:hAnsi="Cambria" w:cs="Cambria"/>
          <w:sz w:val="24"/>
          <w:szCs w:val="24"/>
        </w:rPr>
        <w:t>doi:10.1016/j.jaa</w:t>
      </w:r>
      <w:proofErr w:type="gramEnd"/>
      <w:r>
        <w:rPr>
          <w:rFonts w:ascii="Cambria" w:eastAsia="Cambria" w:hAnsi="Cambria" w:cs="Cambria"/>
          <w:sz w:val="24"/>
          <w:szCs w:val="24"/>
        </w:rPr>
        <w:t>.2009.06.001.</w:t>
      </w:r>
    </w:p>
    <w:p w14:paraId="72AADAFD" w14:textId="77777777" w:rsidR="00C15A74" w:rsidRDefault="00C15A74">
      <w:pPr>
        <w:jc w:val="both"/>
        <w:rPr>
          <w:rFonts w:ascii="Cambria" w:eastAsia="Cambria" w:hAnsi="Cambria" w:cs="Cambria"/>
          <w:sz w:val="24"/>
          <w:szCs w:val="24"/>
        </w:rPr>
      </w:pPr>
    </w:p>
    <w:p w14:paraId="1FA01692" w14:textId="77777777" w:rsidR="00C15A74" w:rsidRDefault="00000000">
      <w:pPr>
        <w:jc w:val="both"/>
        <w:rPr>
          <w:rFonts w:ascii="Cambria" w:eastAsia="Cambria" w:hAnsi="Cambria" w:cs="Cambria"/>
          <w:sz w:val="24"/>
          <w:szCs w:val="24"/>
        </w:rPr>
      </w:pPr>
      <w:proofErr w:type="spellStart"/>
      <w:r>
        <w:rPr>
          <w:rFonts w:ascii="Cambria" w:eastAsia="Cambria" w:hAnsi="Cambria" w:cs="Cambria"/>
          <w:sz w:val="24"/>
          <w:szCs w:val="24"/>
        </w:rPr>
        <w:t>Rebay-Salisburi</w:t>
      </w:r>
      <w:proofErr w:type="spellEnd"/>
      <w:r>
        <w:rPr>
          <w:rFonts w:ascii="Cambria" w:eastAsia="Cambria" w:hAnsi="Cambria" w:cs="Cambria"/>
          <w:sz w:val="24"/>
          <w:szCs w:val="24"/>
        </w:rPr>
        <w:t xml:space="preserve"> et al. 2020</w:t>
      </w:r>
    </w:p>
    <w:p w14:paraId="5B8E9FDA" w14:textId="77777777" w:rsidR="00C15A74" w:rsidRDefault="00C15A74">
      <w:pPr>
        <w:jc w:val="both"/>
        <w:rPr>
          <w:rFonts w:ascii="Cambria" w:eastAsia="Cambria" w:hAnsi="Cambria" w:cs="Cambria"/>
          <w:sz w:val="24"/>
          <w:szCs w:val="24"/>
        </w:rPr>
      </w:pPr>
    </w:p>
    <w:p w14:paraId="09974C9C" w14:textId="77777777" w:rsidR="00C15A74" w:rsidRDefault="00000000">
      <w:pPr>
        <w:spacing w:line="360" w:lineRule="auto"/>
        <w:jc w:val="both"/>
        <w:rPr>
          <w:rFonts w:ascii="Cambria" w:eastAsia="Cambria" w:hAnsi="Cambria" w:cs="Cambria"/>
          <w:sz w:val="24"/>
          <w:szCs w:val="24"/>
        </w:rPr>
      </w:pPr>
      <w:r>
        <w:rPr>
          <w:rFonts w:ascii="Cambria" w:eastAsia="Cambria" w:hAnsi="Cambria" w:cs="Cambria"/>
          <w:sz w:val="24"/>
          <w:szCs w:val="24"/>
        </w:rPr>
        <w:t xml:space="preserve">К. </w:t>
      </w:r>
      <w:proofErr w:type="spellStart"/>
      <w:r>
        <w:rPr>
          <w:rFonts w:ascii="Cambria" w:eastAsia="Cambria" w:hAnsi="Cambria" w:cs="Cambria"/>
          <w:sz w:val="24"/>
          <w:szCs w:val="24"/>
        </w:rPr>
        <w:t>Rebay-Salisburi</w:t>
      </w:r>
      <w:proofErr w:type="spellEnd"/>
      <w:r>
        <w:rPr>
          <w:rFonts w:ascii="Cambria" w:eastAsia="Cambria" w:hAnsi="Cambria" w:cs="Cambria"/>
          <w:sz w:val="24"/>
          <w:szCs w:val="24"/>
        </w:rPr>
        <w:t xml:space="preserve">, P. Bortel, L. Janker, M. Bas, D. Pany-Kucera, R.B. Salisbury, C. Gerner, F. Kanz, </w:t>
      </w:r>
      <w:proofErr w:type="gramStart"/>
      <w:r>
        <w:rPr>
          <w:rFonts w:ascii="Cambria" w:eastAsia="Cambria" w:hAnsi="Cambria" w:cs="Cambria"/>
          <w:sz w:val="24"/>
          <w:szCs w:val="24"/>
        </w:rPr>
        <w:t>Gendered</w:t>
      </w:r>
      <w:proofErr w:type="gramEnd"/>
      <w:r>
        <w:rPr>
          <w:rFonts w:ascii="Cambria" w:eastAsia="Cambria" w:hAnsi="Cambria" w:cs="Cambria"/>
          <w:sz w:val="24"/>
          <w:szCs w:val="24"/>
        </w:rPr>
        <w:t xml:space="preserve"> burial practices of early Bronze Age children align with peptide-based sex identification: A case study from </w:t>
      </w:r>
      <w:proofErr w:type="spellStart"/>
      <w:r>
        <w:rPr>
          <w:rFonts w:ascii="Cambria" w:eastAsia="Cambria" w:hAnsi="Cambria" w:cs="Cambria"/>
          <w:sz w:val="24"/>
          <w:szCs w:val="24"/>
        </w:rPr>
        <w:t>Franzhausen</w:t>
      </w:r>
      <w:proofErr w:type="spellEnd"/>
      <w:r>
        <w:rPr>
          <w:rFonts w:ascii="Cambria" w:eastAsia="Cambria" w:hAnsi="Cambria" w:cs="Cambria"/>
          <w:sz w:val="24"/>
          <w:szCs w:val="24"/>
        </w:rPr>
        <w:t xml:space="preserve"> I, Austria. Journal of Archaeological Science, Volume 139, 2020.</w:t>
      </w:r>
    </w:p>
    <w:p w14:paraId="0C62AB0E" w14:textId="77777777" w:rsidR="00C15A74" w:rsidRDefault="00C15A74">
      <w:pPr>
        <w:jc w:val="both"/>
        <w:rPr>
          <w:rFonts w:ascii="Cambria" w:eastAsia="Cambria" w:hAnsi="Cambria" w:cs="Cambria"/>
          <w:sz w:val="24"/>
          <w:szCs w:val="24"/>
        </w:rPr>
      </w:pPr>
    </w:p>
    <w:p w14:paraId="4048FC45"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Rega 1995</w:t>
      </w:r>
    </w:p>
    <w:p w14:paraId="4B02C825"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44C50E8E" w14:textId="77777777" w:rsidR="00C15A74" w:rsidRDefault="00000000">
      <w:pPr>
        <w:jc w:val="both"/>
        <w:rPr>
          <w:rFonts w:ascii="Cambria" w:eastAsia="Cambria" w:hAnsi="Cambria" w:cs="Cambria"/>
          <w:sz w:val="24"/>
          <w:szCs w:val="24"/>
        </w:rPr>
      </w:pPr>
      <w:r>
        <w:rPr>
          <w:rFonts w:ascii="Cambria" w:eastAsia="Cambria" w:hAnsi="Cambria" w:cs="Cambria"/>
          <w:sz w:val="24"/>
          <w:szCs w:val="24"/>
        </w:rPr>
        <w:lastRenderedPageBreak/>
        <w:t xml:space="preserve">Е. </w:t>
      </w:r>
      <w:proofErr w:type="gramStart"/>
      <w:r>
        <w:rPr>
          <w:rFonts w:ascii="Cambria" w:eastAsia="Cambria" w:hAnsi="Cambria" w:cs="Cambria"/>
          <w:sz w:val="24"/>
          <w:szCs w:val="24"/>
        </w:rPr>
        <w:t>Rega,.</w:t>
      </w:r>
      <w:proofErr w:type="gramEnd"/>
      <w:r>
        <w:rPr>
          <w:rFonts w:ascii="Cambria" w:eastAsia="Cambria" w:hAnsi="Cambria" w:cs="Cambria"/>
          <w:sz w:val="24"/>
          <w:szCs w:val="24"/>
        </w:rPr>
        <w:t xml:space="preserve"> Biological correlates of social structure in the Early Bronze Age cemetery at </w:t>
      </w:r>
      <w:proofErr w:type="spellStart"/>
      <w:r>
        <w:rPr>
          <w:rFonts w:ascii="Cambria" w:eastAsia="Cambria" w:hAnsi="Cambria" w:cs="Cambria"/>
          <w:sz w:val="24"/>
          <w:szCs w:val="24"/>
        </w:rPr>
        <w:t>Mokrin</w:t>
      </w:r>
      <w:proofErr w:type="spellEnd"/>
      <w:r>
        <w:rPr>
          <w:rFonts w:ascii="Cambria" w:eastAsia="Cambria" w:hAnsi="Cambria" w:cs="Cambria"/>
          <w:sz w:val="24"/>
          <w:szCs w:val="24"/>
        </w:rPr>
        <w:t>. Unpublished PhD thesis, University of Chicago, 1995.</w:t>
      </w:r>
    </w:p>
    <w:p w14:paraId="2AD01174" w14:textId="77777777" w:rsidR="00C15A74" w:rsidRDefault="00C15A74">
      <w:pPr>
        <w:jc w:val="both"/>
        <w:rPr>
          <w:rFonts w:ascii="Cambria" w:eastAsia="Cambria" w:hAnsi="Cambria" w:cs="Cambria"/>
          <w:sz w:val="24"/>
          <w:szCs w:val="24"/>
        </w:rPr>
      </w:pPr>
    </w:p>
    <w:p w14:paraId="0B3A6BD5"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Rega 2000</w:t>
      </w:r>
    </w:p>
    <w:p w14:paraId="5B4771F1" w14:textId="77777777" w:rsidR="00C15A74" w:rsidRDefault="00C15A74">
      <w:pPr>
        <w:jc w:val="both"/>
        <w:rPr>
          <w:rFonts w:ascii="Cambria" w:eastAsia="Cambria" w:hAnsi="Cambria" w:cs="Cambria"/>
          <w:sz w:val="24"/>
          <w:szCs w:val="24"/>
        </w:rPr>
      </w:pPr>
    </w:p>
    <w:p w14:paraId="5EEB00CB" w14:textId="77777777" w:rsidR="00C15A74" w:rsidRDefault="00000000">
      <w:pPr>
        <w:spacing w:line="360" w:lineRule="auto"/>
        <w:jc w:val="both"/>
        <w:rPr>
          <w:rFonts w:ascii="Cambria" w:eastAsia="Cambria" w:hAnsi="Cambria" w:cs="Cambria"/>
          <w:sz w:val="24"/>
          <w:szCs w:val="24"/>
        </w:rPr>
      </w:pPr>
      <w:r>
        <w:rPr>
          <w:rFonts w:ascii="Cambria" w:eastAsia="Cambria" w:hAnsi="Cambria" w:cs="Cambria"/>
          <w:sz w:val="24"/>
          <w:szCs w:val="24"/>
        </w:rPr>
        <w:t xml:space="preserve">Е Rega, The gendering of children in the Early Bronze Age cemetery at </w:t>
      </w:r>
      <w:proofErr w:type="spellStart"/>
      <w:r>
        <w:rPr>
          <w:rFonts w:ascii="Cambria" w:eastAsia="Cambria" w:hAnsi="Cambria" w:cs="Cambria"/>
          <w:sz w:val="24"/>
          <w:szCs w:val="24"/>
        </w:rPr>
        <w:t>Mokrin</w:t>
      </w:r>
      <w:proofErr w:type="spellEnd"/>
      <w:r>
        <w:rPr>
          <w:rFonts w:ascii="Cambria" w:eastAsia="Cambria" w:hAnsi="Cambria" w:cs="Cambria"/>
          <w:sz w:val="24"/>
          <w:szCs w:val="24"/>
        </w:rPr>
        <w:t xml:space="preserve">. Gender and Material Culture in Historical Perspective. Macmillan. </w:t>
      </w:r>
      <w:proofErr w:type="spellStart"/>
      <w:r>
        <w:rPr>
          <w:rFonts w:ascii="Cambria" w:eastAsia="Cambria" w:hAnsi="Cambria" w:cs="Cambria"/>
          <w:sz w:val="24"/>
          <w:szCs w:val="24"/>
        </w:rPr>
        <w:t>Londres</w:t>
      </w:r>
      <w:proofErr w:type="spellEnd"/>
      <w:r>
        <w:rPr>
          <w:rFonts w:ascii="Cambria" w:eastAsia="Cambria" w:hAnsi="Cambria" w:cs="Cambria"/>
          <w:sz w:val="24"/>
          <w:szCs w:val="24"/>
        </w:rPr>
        <w:t>, 2000, 238-249.</w:t>
      </w:r>
    </w:p>
    <w:p w14:paraId="788A4834"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Robb and Harris 2013</w:t>
      </w:r>
    </w:p>
    <w:p w14:paraId="6C00F8A3"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J. Robb and O. J. Harris (Eds</w:t>
      </w:r>
      <w:proofErr w:type="gramStart"/>
      <w:r>
        <w:rPr>
          <w:rFonts w:ascii="Cambria" w:eastAsia="Cambria" w:hAnsi="Cambria" w:cs="Cambria"/>
          <w:sz w:val="24"/>
          <w:szCs w:val="24"/>
        </w:rPr>
        <w:t>),  The</w:t>
      </w:r>
      <w:proofErr w:type="gramEnd"/>
      <w:r>
        <w:rPr>
          <w:rFonts w:ascii="Cambria" w:eastAsia="Cambria" w:hAnsi="Cambria" w:cs="Cambria"/>
          <w:sz w:val="24"/>
          <w:szCs w:val="24"/>
        </w:rPr>
        <w:t xml:space="preserve"> body in history: Europe from the </w:t>
      </w:r>
      <w:proofErr w:type="spellStart"/>
      <w:r>
        <w:rPr>
          <w:rFonts w:ascii="Cambria" w:eastAsia="Cambria" w:hAnsi="Cambria" w:cs="Cambria"/>
          <w:sz w:val="24"/>
          <w:szCs w:val="24"/>
        </w:rPr>
        <w:t>Palaeolithic</w:t>
      </w:r>
      <w:proofErr w:type="spellEnd"/>
      <w:r>
        <w:rPr>
          <w:rFonts w:ascii="Cambria" w:eastAsia="Cambria" w:hAnsi="Cambria" w:cs="Cambria"/>
          <w:sz w:val="24"/>
          <w:szCs w:val="24"/>
        </w:rPr>
        <w:t xml:space="preserve"> to the future. Cambridge 2013.</w:t>
      </w:r>
    </w:p>
    <w:p w14:paraId="7C4F67E4"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Robb and Harris 2018</w:t>
      </w:r>
    </w:p>
    <w:p w14:paraId="0D519E93"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 xml:space="preserve">J. Robb and O. J. </w:t>
      </w:r>
      <w:proofErr w:type="gramStart"/>
      <w:r>
        <w:rPr>
          <w:rFonts w:ascii="Cambria" w:eastAsia="Cambria" w:hAnsi="Cambria" w:cs="Cambria"/>
          <w:sz w:val="24"/>
          <w:szCs w:val="24"/>
        </w:rPr>
        <w:t>Harris,  Becoming</w:t>
      </w:r>
      <w:proofErr w:type="gramEnd"/>
      <w:r>
        <w:rPr>
          <w:rFonts w:ascii="Cambria" w:eastAsia="Cambria" w:hAnsi="Cambria" w:cs="Cambria"/>
          <w:sz w:val="24"/>
          <w:szCs w:val="24"/>
        </w:rPr>
        <w:t xml:space="preserve"> gendered in European prehistory: was Neolithic gender fundamentally different? American Antiquity, 83(1), 2018, 128-147.</w:t>
      </w:r>
    </w:p>
    <w:p w14:paraId="0F3D33EA" w14:textId="77777777" w:rsidR="00C15A74" w:rsidRDefault="00000000">
      <w:pPr>
        <w:jc w:val="both"/>
        <w:rPr>
          <w:rFonts w:ascii="Cambria" w:eastAsia="Cambria" w:hAnsi="Cambria" w:cs="Cambria"/>
          <w:sz w:val="24"/>
          <w:szCs w:val="24"/>
        </w:rPr>
      </w:pPr>
      <w:proofErr w:type="spellStart"/>
      <w:proofErr w:type="gramStart"/>
      <w:r>
        <w:rPr>
          <w:rFonts w:ascii="Cambria" w:eastAsia="Cambria" w:hAnsi="Cambria" w:cs="Cambria"/>
          <w:sz w:val="24"/>
          <w:szCs w:val="24"/>
        </w:rPr>
        <w:t>Стефановић</w:t>
      </w:r>
      <w:proofErr w:type="spellEnd"/>
      <w:r>
        <w:rPr>
          <w:rFonts w:ascii="Cambria" w:eastAsia="Cambria" w:hAnsi="Cambria" w:cs="Cambria"/>
          <w:sz w:val="24"/>
          <w:szCs w:val="24"/>
        </w:rPr>
        <w:t xml:space="preserve">  2008</w:t>
      </w:r>
      <w:proofErr w:type="gramEnd"/>
    </w:p>
    <w:p w14:paraId="39FD4890"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44D58AC3"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С. </w:t>
      </w:r>
      <w:proofErr w:type="spellStart"/>
      <w:proofErr w:type="gramStart"/>
      <w:r>
        <w:rPr>
          <w:rFonts w:ascii="Cambria" w:eastAsia="Cambria" w:hAnsi="Cambria" w:cs="Cambria"/>
          <w:sz w:val="24"/>
          <w:szCs w:val="24"/>
        </w:rPr>
        <w:t>Стефановић</w:t>
      </w:r>
      <w:proofErr w:type="spellEnd"/>
      <w:r>
        <w:rPr>
          <w:rFonts w:ascii="Cambria" w:eastAsia="Cambria" w:hAnsi="Cambria" w:cs="Cambria"/>
          <w:sz w:val="24"/>
          <w:szCs w:val="24"/>
        </w:rPr>
        <w:t>,.</w:t>
      </w:r>
      <w:proofErr w:type="gramEnd"/>
      <w:r>
        <w:rPr>
          <w:rFonts w:ascii="Cambria" w:eastAsia="Cambria" w:hAnsi="Cambria" w:cs="Cambria"/>
          <w:sz w:val="24"/>
          <w:szCs w:val="24"/>
        </w:rPr>
        <w:t xml:space="preserve"> </w:t>
      </w:r>
      <w:proofErr w:type="spellStart"/>
      <w:r>
        <w:rPr>
          <w:rFonts w:ascii="Cambria" w:eastAsia="Cambria" w:hAnsi="Cambria" w:cs="Cambria"/>
          <w:sz w:val="24"/>
          <w:szCs w:val="24"/>
        </w:rPr>
        <w:t>Рад</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род</w:t>
      </w:r>
      <w:proofErr w:type="spellEnd"/>
      <w:r>
        <w:rPr>
          <w:rFonts w:ascii="Cambria" w:eastAsia="Cambria" w:hAnsi="Cambria" w:cs="Cambria"/>
          <w:sz w:val="24"/>
          <w:szCs w:val="24"/>
        </w:rPr>
        <w:t xml:space="preserve"> и </w:t>
      </w:r>
      <w:proofErr w:type="spellStart"/>
      <w:r>
        <w:rPr>
          <w:rFonts w:ascii="Cambria" w:eastAsia="Cambria" w:hAnsi="Cambria" w:cs="Cambria"/>
          <w:sz w:val="24"/>
          <w:szCs w:val="24"/>
        </w:rPr>
        <w:t>статус</w:t>
      </w:r>
      <w:proofErr w:type="spellEnd"/>
      <w:r>
        <w:rPr>
          <w:rFonts w:ascii="Cambria" w:eastAsia="Cambria" w:hAnsi="Cambria" w:cs="Cambria"/>
          <w:sz w:val="24"/>
          <w:szCs w:val="24"/>
        </w:rPr>
        <w:t xml:space="preserve"> у </w:t>
      </w:r>
      <w:proofErr w:type="spellStart"/>
      <w:r>
        <w:rPr>
          <w:rFonts w:ascii="Cambria" w:eastAsia="Cambria" w:hAnsi="Cambria" w:cs="Cambria"/>
          <w:sz w:val="24"/>
          <w:szCs w:val="24"/>
        </w:rPr>
        <w:t>бронзаном</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добу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трагови</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физичких</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активности</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скелетима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са</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некрополе</w:t>
      </w:r>
      <w:proofErr w:type="spellEnd"/>
      <w:r>
        <w:rPr>
          <w:rFonts w:ascii="Cambria" w:eastAsia="Cambria" w:hAnsi="Cambria" w:cs="Cambria"/>
          <w:sz w:val="24"/>
          <w:szCs w:val="24"/>
        </w:rPr>
        <w:t xml:space="preserve"> у </w:t>
      </w:r>
      <w:proofErr w:type="spellStart"/>
      <w:r>
        <w:rPr>
          <w:rFonts w:ascii="Cambria" w:eastAsia="Cambria" w:hAnsi="Cambria" w:cs="Cambria"/>
          <w:sz w:val="24"/>
          <w:szCs w:val="24"/>
        </w:rPr>
        <w:t>Мокрину</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Београд</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Филозофски</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факултет</w:t>
      </w:r>
      <w:proofErr w:type="spellEnd"/>
      <w:r>
        <w:rPr>
          <w:rFonts w:ascii="Cambria" w:eastAsia="Cambria" w:hAnsi="Cambria" w:cs="Cambria"/>
          <w:sz w:val="24"/>
          <w:szCs w:val="24"/>
        </w:rPr>
        <w:t xml:space="preserve"> 2008.</w:t>
      </w:r>
    </w:p>
    <w:p w14:paraId="4F393B7F" w14:textId="77777777" w:rsidR="00C15A74" w:rsidRDefault="00C15A74">
      <w:pPr>
        <w:jc w:val="both"/>
        <w:rPr>
          <w:rFonts w:ascii="Cambria" w:eastAsia="Cambria" w:hAnsi="Cambria" w:cs="Cambria"/>
          <w:sz w:val="24"/>
          <w:szCs w:val="24"/>
        </w:rPr>
      </w:pPr>
    </w:p>
    <w:p w14:paraId="61AC5D1D"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Stefanović and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2013</w:t>
      </w:r>
    </w:p>
    <w:p w14:paraId="2C7D038B"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52FDB573"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S. Stefanović and M. </w:t>
      </w:r>
      <w:proofErr w:type="spellStart"/>
      <w:proofErr w:type="gramStart"/>
      <w:r>
        <w:rPr>
          <w:rFonts w:ascii="Cambria" w:eastAsia="Cambria" w:hAnsi="Cambria" w:cs="Cambria"/>
          <w:sz w:val="24"/>
          <w:szCs w:val="24"/>
        </w:rPr>
        <w:t>Porčić</w:t>
      </w:r>
      <w:proofErr w:type="spellEnd"/>
      <w:r>
        <w:rPr>
          <w:rFonts w:ascii="Cambria" w:eastAsia="Cambria" w:hAnsi="Cambria" w:cs="Cambria"/>
          <w:sz w:val="24"/>
          <w:szCs w:val="24"/>
        </w:rPr>
        <w:t>,  ‘</w:t>
      </w:r>
      <w:proofErr w:type="gramEnd"/>
      <w:r>
        <w:rPr>
          <w:rFonts w:ascii="Cambria" w:eastAsia="Cambria" w:hAnsi="Cambria" w:cs="Cambria"/>
          <w:sz w:val="24"/>
          <w:szCs w:val="24"/>
        </w:rPr>
        <w:t xml:space="preserve">Between-group Differences in the Patterning of Musculo ‐ skeletal Stress Markers: Avoiding Confounding Factors by Focusing on Qualitative Aspects of Physical Activity’, International Journal of </w:t>
      </w:r>
      <w:proofErr w:type="spellStart"/>
      <w:r>
        <w:rPr>
          <w:rFonts w:ascii="Cambria" w:eastAsia="Cambria" w:hAnsi="Cambria" w:cs="Cambria"/>
          <w:sz w:val="24"/>
          <w:szCs w:val="24"/>
        </w:rPr>
        <w:t>Osteoarchaeology</w:t>
      </w:r>
      <w:proofErr w:type="spellEnd"/>
      <w:r>
        <w:rPr>
          <w:rFonts w:ascii="Cambria" w:eastAsia="Cambria" w:hAnsi="Cambria" w:cs="Cambria"/>
          <w:sz w:val="24"/>
          <w:szCs w:val="24"/>
        </w:rPr>
        <w:t>, 23, 2013, 94–105. doi:10.1002/oa.1243.</w:t>
      </w:r>
    </w:p>
    <w:p w14:paraId="6A26E154"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Todd 1920</w:t>
      </w:r>
    </w:p>
    <w:p w14:paraId="709F4A93" w14:textId="77777777" w:rsidR="00C15A74" w:rsidRDefault="00000000">
      <w:pPr>
        <w:spacing w:before="240" w:after="240"/>
        <w:jc w:val="both"/>
        <w:rPr>
          <w:rFonts w:ascii="Cambria" w:eastAsia="Cambria" w:hAnsi="Cambria" w:cs="Cambria"/>
          <w:sz w:val="24"/>
          <w:szCs w:val="24"/>
        </w:rPr>
      </w:pPr>
      <w:r>
        <w:rPr>
          <w:rFonts w:ascii="Cambria" w:eastAsia="Cambria" w:hAnsi="Cambria" w:cs="Cambria"/>
          <w:sz w:val="24"/>
          <w:szCs w:val="24"/>
        </w:rPr>
        <w:t>T. W. Todd, Age changes in the pubic bone, American Journal of Physical Anthropology 4. 1920, 1–70.</w:t>
      </w:r>
    </w:p>
    <w:p w14:paraId="29FCDB4C"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Vučetić 2015</w:t>
      </w:r>
    </w:p>
    <w:p w14:paraId="6475A9AE"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 </w:t>
      </w:r>
    </w:p>
    <w:p w14:paraId="10FB6576" w14:textId="4A770ABD" w:rsidR="00C15A74" w:rsidRDefault="00000000">
      <w:pPr>
        <w:jc w:val="both"/>
        <w:rPr>
          <w:rFonts w:ascii="Cambria" w:eastAsia="Cambria" w:hAnsi="Cambria" w:cs="Cambria"/>
          <w:sz w:val="24"/>
          <w:szCs w:val="24"/>
        </w:rPr>
      </w:pPr>
      <w:r>
        <w:rPr>
          <w:rFonts w:ascii="Cambria" w:eastAsia="Cambria" w:hAnsi="Cambria" w:cs="Cambria"/>
          <w:sz w:val="24"/>
          <w:szCs w:val="24"/>
        </w:rPr>
        <w:t>D. Vučetić,</w:t>
      </w:r>
      <w:r w:rsidR="0041523D">
        <w:rPr>
          <w:rFonts w:ascii="Cambria" w:eastAsia="Cambria" w:hAnsi="Cambria" w:cs="Cambria"/>
          <w:sz w:val="24"/>
          <w:szCs w:val="24"/>
        </w:rPr>
        <w:t xml:space="preserve"> </w:t>
      </w:r>
      <w:proofErr w:type="spellStart"/>
      <w:r>
        <w:rPr>
          <w:rFonts w:ascii="Cambria" w:eastAsia="Cambria" w:hAnsi="Cambria" w:cs="Cambria"/>
          <w:sz w:val="24"/>
          <w:szCs w:val="24"/>
        </w:rPr>
        <w:t>Fizička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aktivnost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društveni</w:t>
      </w:r>
      <w:proofErr w:type="spellEnd"/>
      <w:r>
        <w:rPr>
          <w:rFonts w:ascii="Cambria" w:eastAsia="Cambria" w:hAnsi="Cambria" w:cs="Cambria"/>
          <w:sz w:val="24"/>
          <w:szCs w:val="24"/>
        </w:rPr>
        <w:t xml:space="preserve"> status: </w:t>
      </w:r>
      <w:proofErr w:type="spellStart"/>
      <w:r>
        <w:rPr>
          <w:rFonts w:ascii="Cambria" w:eastAsia="Cambria" w:hAnsi="Cambria" w:cs="Cambria"/>
          <w:sz w:val="24"/>
          <w:szCs w:val="24"/>
        </w:rPr>
        <w:t>studija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slučaja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moriške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nekropole</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Ostojićevu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Neobjavljena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doktorska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disertacija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Univerzitet</w:t>
      </w:r>
      <w:proofErr w:type="spellEnd"/>
      <w:r>
        <w:rPr>
          <w:rFonts w:ascii="Cambria" w:eastAsia="Cambria" w:hAnsi="Cambria" w:cs="Cambria"/>
          <w:sz w:val="24"/>
          <w:szCs w:val="24"/>
        </w:rPr>
        <w:t xml:space="preserve"> u </w:t>
      </w:r>
      <w:proofErr w:type="spellStart"/>
      <w:r>
        <w:rPr>
          <w:rFonts w:ascii="Cambria" w:eastAsia="Cambria" w:hAnsi="Cambria" w:cs="Cambria"/>
          <w:sz w:val="24"/>
          <w:szCs w:val="24"/>
        </w:rPr>
        <w:t>Beogradu</w:t>
      </w:r>
      <w:proofErr w:type="spellEnd"/>
      <w:r>
        <w:rPr>
          <w:rFonts w:ascii="Cambria" w:eastAsia="Cambria" w:hAnsi="Cambria" w:cs="Cambria"/>
          <w:sz w:val="24"/>
          <w:szCs w:val="24"/>
        </w:rPr>
        <w:t xml:space="preserve"> 2015. </w:t>
      </w:r>
    </w:p>
    <w:p w14:paraId="17700CE7" w14:textId="77777777" w:rsidR="00C15A74" w:rsidRDefault="00C15A74">
      <w:pPr>
        <w:jc w:val="both"/>
        <w:rPr>
          <w:rFonts w:ascii="Cambria" w:eastAsia="Cambria" w:hAnsi="Cambria" w:cs="Cambria"/>
          <w:sz w:val="24"/>
          <w:szCs w:val="24"/>
        </w:rPr>
      </w:pPr>
    </w:p>
    <w:p w14:paraId="40ABB3C3" w14:textId="77777777" w:rsidR="00C15A74" w:rsidRDefault="00000000">
      <w:pPr>
        <w:jc w:val="both"/>
        <w:rPr>
          <w:rFonts w:ascii="Cambria" w:eastAsia="Cambria" w:hAnsi="Cambria" w:cs="Cambria"/>
          <w:sz w:val="24"/>
          <w:szCs w:val="24"/>
        </w:rPr>
      </w:pP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et al. 2021</w:t>
      </w:r>
    </w:p>
    <w:p w14:paraId="161C2260" w14:textId="77777777" w:rsidR="00C15A74" w:rsidRDefault="00C15A74">
      <w:pPr>
        <w:jc w:val="both"/>
        <w:rPr>
          <w:rFonts w:ascii="Cambria" w:eastAsia="Cambria" w:hAnsi="Cambria" w:cs="Cambria"/>
          <w:sz w:val="24"/>
          <w:szCs w:val="24"/>
        </w:rPr>
      </w:pPr>
    </w:p>
    <w:p w14:paraId="505F6AE1" w14:textId="77777777" w:rsidR="00C15A74" w:rsidRDefault="00000000">
      <w:pPr>
        <w:jc w:val="both"/>
        <w:rPr>
          <w:rFonts w:ascii="Cambria" w:eastAsia="Cambria" w:hAnsi="Cambria" w:cs="Cambria"/>
          <w:sz w:val="24"/>
          <w:szCs w:val="24"/>
        </w:rPr>
      </w:pPr>
      <w:r>
        <w:rPr>
          <w:rFonts w:ascii="Cambria" w:eastAsia="Cambria" w:hAnsi="Cambria" w:cs="Cambria"/>
          <w:sz w:val="24"/>
          <w:szCs w:val="24"/>
        </w:rPr>
        <w:t xml:space="preserve">A. </w:t>
      </w:r>
      <w:proofErr w:type="spellStart"/>
      <w:r>
        <w:rPr>
          <w:rFonts w:ascii="Cambria" w:eastAsia="Cambria" w:hAnsi="Cambria" w:cs="Cambria"/>
          <w:sz w:val="24"/>
          <w:szCs w:val="24"/>
        </w:rPr>
        <w:t>Žegarac</w:t>
      </w:r>
      <w:proofErr w:type="spellEnd"/>
      <w:r>
        <w:rPr>
          <w:rFonts w:ascii="Cambria" w:eastAsia="Cambria" w:hAnsi="Cambria" w:cs="Cambria"/>
          <w:sz w:val="24"/>
          <w:szCs w:val="24"/>
        </w:rPr>
        <w:t xml:space="preserve">, L. </w:t>
      </w:r>
      <w:proofErr w:type="spellStart"/>
      <w:r>
        <w:rPr>
          <w:rFonts w:ascii="Cambria" w:eastAsia="Cambria" w:hAnsi="Cambria" w:cs="Cambria"/>
          <w:sz w:val="24"/>
          <w:szCs w:val="24"/>
        </w:rPr>
        <w:t>Winkelbach</w:t>
      </w:r>
      <w:proofErr w:type="spellEnd"/>
      <w:r>
        <w:rPr>
          <w:rFonts w:ascii="Cambria" w:eastAsia="Cambria" w:hAnsi="Cambria" w:cs="Cambria"/>
          <w:sz w:val="24"/>
          <w:szCs w:val="24"/>
        </w:rPr>
        <w:t xml:space="preserve">, J. Blöcher, Y. Diekmann, M. </w:t>
      </w:r>
      <w:proofErr w:type="spellStart"/>
      <w:r>
        <w:rPr>
          <w:rFonts w:ascii="Cambria" w:eastAsia="Cambria" w:hAnsi="Cambria" w:cs="Cambria"/>
          <w:sz w:val="24"/>
          <w:szCs w:val="24"/>
        </w:rPr>
        <w:t>Krečković</w:t>
      </w:r>
      <w:proofErr w:type="spellEnd"/>
      <w:r>
        <w:rPr>
          <w:rFonts w:ascii="Cambria" w:eastAsia="Cambria" w:hAnsi="Cambria" w:cs="Cambria"/>
          <w:sz w:val="24"/>
          <w:szCs w:val="24"/>
        </w:rPr>
        <w:t xml:space="preserve">-Gavrilović, M. </w:t>
      </w:r>
      <w:proofErr w:type="spellStart"/>
      <w:r>
        <w:rPr>
          <w:rFonts w:ascii="Cambria" w:eastAsia="Cambria" w:hAnsi="Cambria" w:cs="Cambria"/>
          <w:sz w:val="24"/>
          <w:szCs w:val="24"/>
        </w:rPr>
        <w:t>Porčić</w:t>
      </w:r>
      <w:proofErr w:type="spellEnd"/>
      <w:r>
        <w:rPr>
          <w:rFonts w:ascii="Cambria" w:eastAsia="Cambria" w:hAnsi="Cambria" w:cs="Cambria"/>
          <w:sz w:val="24"/>
          <w:szCs w:val="24"/>
        </w:rPr>
        <w:t xml:space="preserve">, B. Stojković, L. </w:t>
      </w:r>
      <w:proofErr w:type="spellStart"/>
      <w:r>
        <w:rPr>
          <w:rFonts w:ascii="Cambria" w:eastAsia="Cambria" w:hAnsi="Cambria" w:cs="Cambria"/>
          <w:sz w:val="24"/>
          <w:szCs w:val="24"/>
        </w:rPr>
        <w:t>Milašinović</w:t>
      </w:r>
      <w:proofErr w:type="spellEnd"/>
      <w:r>
        <w:rPr>
          <w:rFonts w:ascii="Cambria" w:eastAsia="Cambria" w:hAnsi="Cambria" w:cs="Cambria"/>
          <w:sz w:val="24"/>
          <w:szCs w:val="24"/>
        </w:rPr>
        <w:t xml:space="preserve">, M. Schreiber, D. Wegmann, K.R. </w:t>
      </w:r>
      <w:proofErr w:type="spellStart"/>
      <w:r>
        <w:rPr>
          <w:rFonts w:ascii="Cambria" w:eastAsia="Cambria" w:hAnsi="Cambria" w:cs="Cambria"/>
          <w:sz w:val="24"/>
          <w:szCs w:val="24"/>
        </w:rPr>
        <w:t>Veeramah</w:t>
      </w:r>
      <w:proofErr w:type="spellEnd"/>
      <w:r>
        <w:rPr>
          <w:rFonts w:ascii="Cambria" w:eastAsia="Cambria" w:hAnsi="Cambria" w:cs="Cambria"/>
          <w:sz w:val="24"/>
          <w:szCs w:val="24"/>
        </w:rPr>
        <w:t xml:space="preserve">, S. Stefanović, and J. </w:t>
      </w:r>
      <w:proofErr w:type="gramStart"/>
      <w:r>
        <w:rPr>
          <w:rFonts w:ascii="Cambria" w:eastAsia="Cambria" w:hAnsi="Cambria" w:cs="Cambria"/>
          <w:sz w:val="24"/>
          <w:szCs w:val="24"/>
        </w:rPr>
        <w:t>Burger,  ‘</w:t>
      </w:r>
      <w:proofErr w:type="gramEnd"/>
      <w:r>
        <w:rPr>
          <w:rFonts w:ascii="Cambria" w:eastAsia="Cambria" w:hAnsi="Cambria" w:cs="Cambria"/>
          <w:sz w:val="24"/>
          <w:szCs w:val="24"/>
        </w:rPr>
        <w:t xml:space="preserve">Ancient genomes provide insights into family structure and the heredity of social status in the early Bronze Age of southeastern Europe’, Scientific Reports, 11(1), 2021, 1–11. </w:t>
      </w:r>
      <w:proofErr w:type="spellStart"/>
      <w:r>
        <w:rPr>
          <w:rFonts w:ascii="Cambria" w:eastAsia="Cambria" w:hAnsi="Cambria" w:cs="Cambria"/>
          <w:sz w:val="24"/>
          <w:szCs w:val="24"/>
        </w:rPr>
        <w:t>doi</w:t>
      </w:r>
      <w:proofErr w:type="spellEnd"/>
      <w:r>
        <w:rPr>
          <w:rFonts w:ascii="Cambria" w:eastAsia="Cambria" w:hAnsi="Cambria" w:cs="Cambria"/>
          <w:sz w:val="24"/>
          <w:szCs w:val="24"/>
        </w:rPr>
        <w:t>: 10.1038/s41598-021-89090-x.</w:t>
      </w:r>
    </w:p>
    <w:p w14:paraId="779427CE" w14:textId="77777777" w:rsidR="00C15A74" w:rsidRDefault="00C15A74">
      <w:pPr>
        <w:jc w:val="both"/>
        <w:rPr>
          <w:rFonts w:ascii="Cambria" w:eastAsia="Cambria" w:hAnsi="Cambria" w:cs="Cambria"/>
          <w:sz w:val="24"/>
          <w:szCs w:val="24"/>
          <w:highlight w:val="green"/>
        </w:rPr>
      </w:pPr>
    </w:p>
    <w:sectPr w:rsidR="00C15A74">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2AF2" w14:textId="77777777" w:rsidR="004C10E7" w:rsidRDefault="004C10E7">
      <w:pPr>
        <w:spacing w:line="240" w:lineRule="auto"/>
      </w:pPr>
      <w:r>
        <w:separator/>
      </w:r>
    </w:p>
  </w:endnote>
  <w:endnote w:type="continuationSeparator" w:id="0">
    <w:p w14:paraId="7161598E" w14:textId="77777777" w:rsidR="004C10E7" w:rsidRDefault="004C10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EC8509B-34E6-4E35-900E-86A5BC9542C3}"/>
    <w:embedBold r:id="rId2" w:fontKey="{32391BAE-CF8C-40F2-A8BD-163F0CBE7B4C}"/>
    <w:embedItalic r:id="rId3" w:fontKey="{0277E25B-5B9B-4195-A78C-3DF18E3D9D5B}"/>
  </w:font>
  <w:font w:name="Calibri">
    <w:panose1 w:val="020F0502020204030204"/>
    <w:charset w:val="00"/>
    <w:family w:val="swiss"/>
    <w:pitch w:val="variable"/>
    <w:sig w:usb0="E4002EFF" w:usb1="C000247B" w:usb2="00000009" w:usb3="00000000" w:csb0="000001FF" w:csb1="00000000"/>
    <w:embedRegular r:id="rId4" w:fontKey="{D5C0579D-D988-4221-8C33-2F3D2894E322}"/>
  </w:font>
  <w:font w:name="Roboto">
    <w:charset w:val="00"/>
    <w:family w:val="auto"/>
    <w:pitch w:val="variable"/>
    <w:sig w:usb0="E0000AFF" w:usb1="5000217F" w:usb2="00000021" w:usb3="00000000" w:csb0="0000019F" w:csb1="00000000"/>
    <w:embedRegular r:id="rId5" w:fontKey="{BDBCEF96-4905-4052-9666-5D096FD8601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71C8" w14:textId="77777777" w:rsidR="004C10E7" w:rsidRDefault="004C10E7">
      <w:pPr>
        <w:spacing w:line="240" w:lineRule="auto"/>
      </w:pPr>
      <w:r>
        <w:separator/>
      </w:r>
    </w:p>
  </w:footnote>
  <w:footnote w:type="continuationSeparator" w:id="0">
    <w:p w14:paraId="53065F56" w14:textId="77777777" w:rsidR="004C10E7" w:rsidRDefault="004C10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CB0D" w14:textId="77777777" w:rsidR="00C15A74" w:rsidRDefault="00C15A7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A74"/>
    <w:rsid w:val="001E2D6C"/>
    <w:rsid w:val="00207518"/>
    <w:rsid w:val="00296073"/>
    <w:rsid w:val="0041523D"/>
    <w:rsid w:val="004C10E7"/>
    <w:rsid w:val="00AE439D"/>
    <w:rsid w:val="00C15A74"/>
    <w:rsid w:val="00E324DF"/>
    <w:rsid w:val="00EB4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DFB0A"/>
  <w15:docId w15:val="{62C7386C-4DA6-4A92-845E-EA5B638A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6445">
      <w:bodyDiv w:val="1"/>
      <w:marLeft w:val="0"/>
      <w:marRight w:val="0"/>
      <w:marTop w:val="0"/>
      <w:marBottom w:val="0"/>
      <w:divBdr>
        <w:top w:val="none" w:sz="0" w:space="0" w:color="auto"/>
        <w:left w:val="none" w:sz="0" w:space="0" w:color="auto"/>
        <w:bottom w:val="none" w:sz="0" w:space="0" w:color="auto"/>
        <w:right w:val="none" w:sz="0" w:space="0" w:color="auto"/>
      </w:divBdr>
    </w:div>
    <w:div w:id="1288658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porcic@f.bg.ac.rs"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na.amzirkov@stud.f.bg.ac.rs"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marija.kreckovic@f.bg.ac.rs"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mailto:smstefan@f.bg.ac.rs" TargetMode="External"/><Relationship Id="rId4" Type="http://schemas.openxmlformats.org/officeDocument/2006/relationships/footnotes" Target="footnotes.xml"/><Relationship Id="rId9" Type="http://schemas.openxmlformats.org/officeDocument/2006/relationships/hyperlink" Target="mailto:jelena.markovic@f.bg.ac.rs"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8137</Words>
  <Characters>46387</Characters>
  <Application>Microsoft Office Word</Application>
  <DocSecurity>0</DocSecurity>
  <Lines>386</Lines>
  <Paragraphs>108</Paragraphs>
  <ScaleCrop>false</ScaleCrop>
  <Company/>
  <LinksUpToDate>false</LinksUpToDate>
  <CharactersWithSpaces>54416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Marija Kreckovic Gavrilovic</cp:lastModifiedBy>
  <cp:revision>5</cp:revision>
  <dcterms:created xsi:type="dcterms:W3CDTF">2025-07-14T09:39:00Z</dcterms:created>
  <dcterms:modified xsi:type="dcterms:W3CDTF">2025-07-14T10:06:00Z</dcterms:modified>
</cp:coreProperties>
</file>