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Beyond geomythology: an ethnobiology of fossils</w:t>
      </w:r>
    </w:p>
    <w:p w:rsidR="00000000" w:rsidDel="00000000" w:rsidP="00000000" w:rsidRDefault="00000000" w:rsidRPr="00000000" w14:paraId="00000002">
      <w:pPr>
        <w:spacing w:line="48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Trace Fleeman Garcia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line="48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Portland, Oregon, United States</w:t>
      </w:r>
    </w:p>
    <w:p w:rsidR="00000000" w:rsidDel="00000000" w:rsidP="00000000" w:rsidRDefault="00000000" w:rsidRPr="00000000" w14:paraId="00000006">
      <w:pPr>
        <w:spacing w:line="48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*me@tracefleemangarcia.com</w:t>
      </w:r>
      <w:r w:rsidDel="00000000" w:rsidR="00000000" w:rsidRPr="00000000">
        <w:rPr>
          <w:rtl w:val="0"/>
        </w:rPr>
      </w:r>
    </w:p>
    <w:p w:rsidR="00000000" w:rsidDel="00000000" w:rsidP="00000000" w:rsidRDefault="00000000" w:rsidRPr="00000000" w14:paraId="00000007">
      <w:pPr>
        <w:spacing w:line="480" w:lineRule="auto"/>
        <w:ind w:right="-720"/>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line="48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Beyond geomythology: an ethnobiology of fossils</w:t>
      </w:r>
    </w:p>
    <w:p w:rsidR="00000000" w:rsidDel="00000000" w:rsidP="00000000" w:rsidRDefault="00000000" w:rsidRPr="00000000" w14:paraId="00000009">
      <w:pPr>
        <w:spacing w:line="480" w:lineRule="auto"/>
        <w:ind w:right="-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Ethnopaleontology is the study of the relationship between humans and fossils. So far, this emerging discipline has been dominated by geomythology, a research orientation that seeks to historicize traditional knowledge and narratives as premodern explanations for geological phenomena. I argue that this methodology fails to capture the most pertinent information about human interactions with ancient organisms, and instead primarily subsumes these engagements into an uncritical, ethnocentric narrative about the development of Western science. I propose that ethnopaleontology should be reconfigured as a study of cultures, embedded in ecosystems, extended over deep time – an ethnobiology of fossils.</w:t>
      </w:r>
    </w:p>
    <w:p w:rsidR="00000000" w:rsidDel="00000000" w:rsidP="00000000" w:rsidRDefault="00000000" w:rsidRPr="00000000" w14:paraId="0000000B">
      <w:pPr>
        <w:spacing w:line="48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Ethnopaleontology, ethnobiology of fossils, geomythology, fossil folklore</w:t>
      </w:r>
    </w:p>
    <w:p w:rsidR="00000000" w:rsidDel="00000000" w:rsidP="00000000" w:rsidRDefault="00000000" w:rsidRPr="00000000" w14:paraId="0000000D">
      <w:pPr>
        <w:spacing w:line="48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F">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interest in fossils is ancient, perhaps embedded in the very origin of symbolic thought. An unmodified fossil cuttlefish (†</w:t>
      </w:r>
      <w:r w:rsidDel="00000000" w:rsidR="00000000" w:rsidRPr="00000000">
        <w:rPr>
          <w:rFonts w:ascii="Times New Roman" w:cs="Times New Roman" w:eastAsia="Times New Roman" w:hAnsi="Times New Roman"/>
          <w:i w:val="1"/>
          <w:iCs w:val="1"/>
          <w:sz w:val="24"/>
          <w:szCs w:val="24"/>
          <w:rtl w:val="0"/>
        </w:rPr>
        <w:t xml:space="preserve">Orthoceras</w:t>
      </w:r>
      <w:r w:rsidDel="00000000" w:rsidR="00000000" w:rsidRPr="00000000">
        <w:rPr>
          <w:rFonts w:ascii="Times New Roman" w:cs="Times New Roman" w:eastAsia="Times New Roman" w:hAnsi="Times New Roman"/>
          <w:sz w:val="24"/>
          <w:szCs w:val="24"/>
          <w:rtl w:val="0"/>
        </w:rPr>
        <w:t xml:space="preserve">), excavated </w:t>
      </w:r>
      <w:r w:rsidDel="00000000" w:rsidR="00000000" w:rsidRPr="00000000">
        <w:rPr>
          <w:rFonts w:ascii="Times New Roman" w:cs="Times New Roman" w:eastAsia="Times New Roman" w:hAnsi="Times New Roman"/>
          <w:sz w:val="24"/>
          <w:szCs w:val="24"/>
          <w:rtl w:val="0"/>
        </w:rPr>
        <w:t xml:space="preserve">from an Acheulian site in Morocco, “challenges the hypothesis that pre-Upper Palaeolithic hominids lacked both symbolism and the ability to perceive iconicity” </w:t>
      </w:r>
      <w:r w:rsidDel="00000000" w:rsidR="00000000" w:rsidRPr="00000000">
        <w:rPr>
          <w:rFonts w:ascii="Times New Roman" w:cs="Times New Roman" w:eastAsia="Times New Roman" w:hAnsi="Times New Roman"/>
          <w:sz w:val="24"/>
          <w:szCs w:val="24"/>
          <w:rtl w:val="0"/>
        </w:rPr>
        <w:t xml:space="preserve">(Bednarik 2002:139)</w:t>
      </w:r>
      <w:r w:rsidDel="00000000" w:rsidR="00000000" w:rsidRPr="00000000">
        <w:rPr>
          <w:rFonts w:ascii="Times New Roman" w:cs="Times New Roman" w:eastAsia="Times New Roman" w:hAnsi="Times New Roman"/>
          <w:sz w:val="24"/>
          <w:szCs w:val="24"/>
          <w:rtl w:val="0"/>
        </w:rPr>
        <w:t xml:space="preserve">. If this specimen was indeed moved to this site by an ancient human ancestor as hypothesized, then cultural engagement with fossils dates back as far as 300,000 years. Such interest, it seems, has never waned: excavations at a first-millennium Roman site in Spain yielded a trilobite (class †Trilobita) mounted as a pendant, perhaps used as an amulet </w:t>
      </w:r>
      <w:r w:rsidDel="00000000" w:rsidR="00000000" w:rsidRPr="00000000">
        <w:rPr>
          <w:rFonts w:ascii="Times New Roman" w:cs="Times New Roman" w:eastAsia="Times New Roman" w:hAnsi="Times New Roman"/>
          <w:sz w:val="24"/>
          <w:szCs w:val="24"/>
          <w:rtl w:val="0"/>
        </w:rPr>
        <w:t xml:space="preserve">(Fernández-Fernández et al 2025), to say nothing of cultural currency that extinct reptiles like </w:t>
      </w:r>
      <w:r w:rsidDel="00000000" w:rsidR="00000000" w:rsidRPr="00000000">
        <w:rPr>
          <w:rFonts w:ascii="Times New Roman" w:cs="Times New Roman" w:eastAsia="Times New Roman" w:hAnsi="Times New Roman"/>
          <w:i w:val="1"/>
          <w:iCs w:val="1"/>
          <w:sz w:val="24"/>
          <w:szCs w:val="24"/>
          <w:rtl w:val="0"/>
        </w:rPr>
        <w:t xml:space="preserve">T. rex</w:t>
      </w:r>
      <w:r w:rsidDel="00000000" w:rsidR="00000000" w:rsidRPr="00000000">
        <w:rPr>
          <w:rFonts w:ascii="Times New Roman" w:cs="Times New Roman" w:eastAsia="Times New Roman" w:hAnsi="Times New Roman"/>
          <w:sz w:val="24"/>
          <w:szCs w:val="24"/>
          <w:rtl w:val="0"/>
        </w:rPr>
        <w:t xml:space="preserve"> enjoy today.</w:t>
      </w:r>
      <w:r w:rsidDel="00000000" w:rsidR="00000000" w:rsidRPr="00000000">
        <w:rPr>
          <w:rtl w:val="0"/>
        </w:rPr>
      </w:r>
    </w:p>
    <w:p w:rsidR="00000000" w:rsidDel="00000000" w:rsidP="00000000" w:rsidRDefault="00000000" w:rsidRPr="00000000" w14:paraId="00000010">
      <w:pPr>
        <w:spacing w:line="48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w:t>
      </w:r>
      <w:r w:rsidDel="00000000" w:rsidR="00000000" w:rsidRPr="00000000">
        <w:rPr>
          <w:rFonts w:ascii="Times New Roman" w:cs="Times New Roman" w:eastAsia="Times New Roman" w:hAnsi="Times New Roman"/>
          <w:sz w:val="24"/>
          <w:szCs w:val="24"/>
          <w:rtl w:val="0"/>
        </w:rPr>
        <w:t xml:space="preserve">“the dynamic relationship between humans and fossils” has been christened </w:t>
      </w:r>
      <w:r w:rsidDel="00000000" w:rsidR="00000000" w:rsidRPr="00000000">
        <w:rPr>
          <w:rFonts w:ascii="Times New Roman" w:cs="Times New Roman" w:eastAsia="Times New Roman" w:hAnsi="Times New Roman"/>
          <w:i w:val="1"/>
          <w:iCs w:val="1"/>
          <w:sz w:val="24"/>
          <w:szCs w:val="24"/>
          <w:rtl w:val="0"/>
        </w:rPr>
        <w:t xml:space="preserve">ethnopaleontology</w:t>
      </w:r>
      <w:r w:rsidDel="00000000" w:rsidR="00000000" w:rsidRPr="00000000">
        <w:rPr>
          <w:rFonts w:ascii="Times New Roman" w:cs="Times New Roman" w:eastAsia="Times New Roman" w:hAnsi="Times New Roman"/>
          <w:sz w:val="24"/>
          <w:szCs w:val="24"/>
          <w:rtl w:val="0"/>
        </w:rPr>
        <w:t xml:space="preserve"> (Moura &amp; Albuquerque 2011).</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Though the empirical and ethnographic potential for this emerging discipline is rich</w:t>
      </w:r>
      <w:r w:rsidDel="00000000" w:rsidR="00000000" w:rsidRPr="00000000">
        <w:rPr>
          <w:rFonts w:ascii="Times New Roman" w:cs="Times New Roman" w:eastAsia="Times New Roman" w:hAnsi="Times New Roman"/>
          <w:sz w:val="24"/>
          <w:szCs w:val="24"/>
          <w:rtl w:val="0"/>
        </w:rPr>
        <w:t xml:space="preserve">, most </w:t>
      </w:r>
      <w:r w:rsidDel="00000000" w:rsidR="00000000" w:rsidRPr="00000000">
        <w:rPr>
          <w:rFonts w:ascii="Times New Roman" w:cs="Times New Roman" w:eastAsia="Times New Roman" w:hAnsi="Times New Roman"/>
          <w:sz w:val="24"/>
          <w:szCs w:val="24"/>
          <w:rtl w:val="0"/>
        </w:rPr>
        <w:t xml:space="preserve">inquiry </w:t>
      </w:r>
      <w:r w:rsidDel="00000000" w:rsidR="00000000" w:rsidRPr="00000000">
        <w:rPr>
          <w:rFonts w:ascii="Times New Roman" w:cs="Times New Roman" w:eastAsia="Times New Roman" w:hAnsi="Times New Roman"/>
          <w:sz w:val="24"/>
          <w:szCs w:val="24"/>
          <w:rtl w:val="0"/>
        </w:rPr>
        <w:t xml:space="preserve">has been focused on investigating speculative fossil origins for myths and folklore. Termed </w:t>
      </w:r>
      <w:r w:rsidDel="00000000" w:rsidR="00000000" w:rsidRPr="00000000">
        <w:rPr>
          <w:rFonts w:ascii="Times New Roman" w:cs="Times New Roman" w:eastAsia="Times New Roman" w:hAnsi="Times New Roman"/>
          <w:i w:val="1"/>
          <w:iCs w:val="1"/>
          <w:sz w:val="24"/>
          <w:szCs w:val="24"/>
          <w:rtl w:val="0"/>
        </w:rPr>
        <w:t xml:space="preserve">geomythology</w:t>
      </w:r>
      <w:r w:rsidDel="00000000" w:rsidR="00000000" w:rsidRPr="00000000">
        <w:rPr>
          <w:rFonts w:ascii="Times New Roman" w:cs="Times New Roman" w:eastAsia="Times New Roman" w:hAnsi="Times New Roman"/>
          <w:sz w:val="24"/>
          <w:szCs w:val="24"/>
          <w:rtl w:val="0"/>
        </w:rPr>
        <w:t xml:space="preserve">, this orientation was introduced in 1968 by the geologist Dorothy Vitaliano:</w:t>
      </w:r>
      <w:r w:rsidDel="00000000" w:rsidR="00000000" w:rsidRPr="00000000">
        <w:rPr>
          <w:rtl w:val="0"/>
        </w:rPr>
      </w:r>
    </w:p>
    <w:p w:rsidR="00000000" w:rsidDel="00000000" w:rsidP="00000000" w:rsidRDefault="00000000" w:rsidRPr="00000000" w14:paraId="00000011">
      <w:pPr>
        <w:spacing w:line="480"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consider it to be the geologic application of euhemerism. The geomythologist seeks to find the real geologic event underlying a myth or legend to which it has given rise; thus he helps convert mythology back into history. (Vitaliano, 1968)</w:t>
      </w:r>
    </w:p>
    <w:p w:rsidR="00000000" w:rsidDel="00000000" w:rsidP="00000000" w:rsidRDefault="00000000" w:rsidRPr="00000000" w14:paraId="00000012">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“rationalistic approach to myth” (Burbery 2021:6) has been applied to a staggering range of cultural phenomena, from stories of medieval giants (Burbery 2015) to San rock art (Benoit 2024).</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major figure in this movement is the classicist Adrienne Mayor, whose work has seen significant and enthusiastic acceptance in popular media, appearing in documentaries, museum exhibits, and even children's books. Indeed, it </w:t>
      </w:r>
      <w:r w:rsidDel="00000000" w:rsidR="00000000" w:rsidRPr="00000000">
        <w:rPr>
          <w:rFonts w:ascii="Times New Roman" w:cs="Times New Roman" w:eastAsia="Times New Roman" w:hAnsi="Times New Roman"/>
          <w:sz w:val="24"/>
          <w:szCs w:val="24"/>
          <w:rtl w:val="0"/>
        </w:rPr>
        <w:t xml:space="preserve">is Mayor</w:t>
      </w:r>
      <w:r w:rsidDel="00000000" w:rsidR="00000000" w:rsidRPr="00000000">
        <w:rPr>
          <w:rFonts w:ascii="Times New Roman" w:cs="Times New Roman" w:eastAsia="Times New Roman" w:hAnsi="Times New Roman"/>
          <w:sz w:val="24"/>
          <w:szCs w:val="24"/>
          <w:rtl w:val="0"/>
        </w:rPr>
        <w:t xml:space="preserve"> who is the primary champion of this fossil-geomythological approach. Her work is cited authoritatively across studies, even those more closely allied to anthropological approaches (i.e., Le Loeuff et al 2012, Fernández-Fernández 2025). Particularly notable is her 1989 hypothesis that the griffin was inspired by †</w:t>
      </w:r>
      <w:r w:rsidDel="00000000" w:rsidR="00000000" w:rsidRPr="00000000">
        <w:rPr>
          <w:rFonts w:ascii="Times New Roman" w:cs="Times New Roman" w:eastAsia="Times New Roman" w:hAnsi="Times New Roman"/>
          <w:i w:val="1"/>
          <w:iCs w:val="1"/>
          <w:sz w:val="24"/>
          <w:szCs w:val="24"/>
          <w:rtl w:val="0"/>
        </w:rPr>
        <w:t xml:space="preserve">Protoceratops</w:t>
      </w:r>
      <w:r w:rsidDel="00000000" w:rsidR="00000000" w:rsidRPr="00000000">
        <w:rPr>
          <w:rFonts w:ascii="Times New Roman" w:cs="Times New Roman" w:eastAsia="Times New Roman" w:hAnsi="Times New Roman"/>
          <w:sz w:val="24"/>
          <w:szCs w:val="24"/>
          <w:rtl w:val="0"/>
        </w:rPr>
        <w:t xml:space="preserve"> fossils in Mongolia, an idea assessed thoroughly by</w:t>
      </w:r>
      <w:r w:rsidDel="00000000" w:rsidR="00000000" w:rsidRPr="00000000">
        <w:rPr>
          <w:rFonts w:ascii="Times New Roman" w:cs="Times New Roman" w:eastAsia="Times New Roman" w:hAnsi="Times New Roman"/>
          <w:sz w:val="24"/>
          <w:szCs w:val="24"/>
          <w:rtl w:val="0"/>
        </w:rPr>
        <w:t xml:space="preserve"> Witton &amp; Hing (2024).</w:t>
      </w:r>
    </w:p>
    <w:p w:rsidR="00000000" w:rsidDel="00000000" w:rsidP="00000000" w:rsidRDefault="00000000" w:rsidRPr="00000000" w14:paraId="00000013">
      <w:pPr>
        <w:spacing w:line="48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critically evaluates this methodology, and instead proposes an alternative: an </w:t>
      </w:r>
      <w:r w:rsidDel="00000000" w:rsidR="00000000" w:rsidRPr="00000000">
        <w:rPr>
          <w:rFonts w:ascii="Times New Roman" w:cs="Times New Roman" w:eastAsia="Times New Roman" w:hAnsi="Times New Roman"/>
          <w:sz w:val="24"/>
          <w:szCs w:val="24"/>
          <w:rtl w:val="0"/>
        </w:rPr>
        <w:t xml:space="preserve">ethnobiology of fossils, or ethnobiology extended over deep time</w:t>
      </w:r>
      <w:r w:rsidDel="00000000" w:rsidR="00000000" w:rsidRPr="00000000">
        <w:rPr>
          <w:rFonts w:ascii="Times New Roman" w:cs="Times New Roman" w:eastAsia="Times New Roman" w:hAnsi="Times New Roman"/>
          <w:sz w:val="24"/>
          <w:szCs w:val="24"/>
          <w:rtl w:val="0"/>
        </w:rPr>
        <w:t xml:space="preserve">. Geomythology is unequipped to provide a sufficiently nuanced study of such varied phenomena.</w:t>
      </w:r>
    </w:p>
    <w:p w:rsidR="00000000" w:rsidDel="00000000" w:rsidP="00000000" w:rsidRDefault="00000000" w:rsidRPr="00000000" w14:paraId="00000014">
      <w:pPr>
        <w:spacing w:line="480" w:lineRule="auto"/>
        <w:ind w:righ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Geomythology and ethnocentrism</w:t>
      </w:r>
    </w:p>
    <w:p w:rsidR="00000000" w:rsidDel="00000000" w:rsidP="00000000" w:rsidRDefault="00000000" w:rsidRPr="00000000" w14:paraId="00000016">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Putting aside issues of parsimony and falsifiability, there are significant theoretical problems with geomythology. Perhaps most glaring is the question of whether the concept of a ‘fossil’ is appropriate to apply to such a wide variety of cultures and periods. While </w:t>
      </w:r>
      <w:r w:rsidDel="00000000" w:rsidR="00000000" w:rsidRPr="00000000">
        <w:rPr>
          <w:rFonts w:ascii="Times New Roman" w:cs="Times New Roman" w:eastAsia="Times New Roman" w:hAnsi="Times New Roman"/>
          <w:sz w:val="24"/>
          <w:szCs w:val="24"/>
          <w:rtl w:val="0"/>
        </w:rPr>
        <w:t xml:space="preserve">many fossils were recognized as petrified lifeforms in antiquity, especially petrified wood and various marine animals, the vast majority are not easily identified. Moreover, some formations, like septarian nodules or manganese dendrites, closely resemble organic material yet are produced inorganically. It is not surprising, then, that </w:t>
      </w:r>
      <w:r w:rsidDel="00000000" w:rsidR="00000000" w:rsidRPr="00000000">
        <w:rPr>
          <w:rFonts w:ascii="Times New Roman" w:cs="Times New Roman" w:eastAsia="Times New Roman" w:hAnsi="Times New Roman"/>
          <w:sz w:val="24"/>
          <w:szCs w:val="24"/>
          <w:rtl w:val="0"/>
        </w:rPr>
        <w:t xml:space="preserve">ethnotaxons</w:t>
      </w:r>
      <w:r w:rsidDel="00000000" w:rsidR="00000000" w:rsidRPr="00000000">
        <w:rPr>
          <w:rFonts w:ascii="Times New Roman" w:cs="Times New Roman" w:eastAsia="Times New Roman" w:hAnsi="Times New Roman"/>
          <w:sz w:val="24"/>
          <w:szCs w:val="24"/>
          <w:rtl w:val="0"/>
        </w:rPr>
        <w:t xml:space="preserve"> are rarely coextensive with paleontological classifications. </w:t>
      </w:r>
    </w:p>
    <w:p w:rsidR="00000000" w:rsidDel="00000000" w:rsidP="00000000" w:rsidRDefault="00000000" w:rsidRPr="00000000" w14:paraId="00000017">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(1968:4)</w:t>
      </w:r>
      <w:r w:rsidDel="00000000" w:rsidR="00000000" w:rsidRPr="00000000">
        <w:rPr>
          <w:rFonts w:ascii="Times New Roman" w:cs="Times New Roman" w:eastAsia="Times New Roman" w:hAnsi="Times New Roman"/>
          <w:sz w:val="24"/>
          <w:szCs w:val="24"/>
          <w:rtl w:val="0"/>
        </w:rPr>
        <w:t xml:space="preserve"> notes that “marbles, serpentines, diabases, and basalt porphyries” were all included in the medieval conception of snakestone, along with the commonly-cited ammonites  (†Ammonoidea). In a survey of Southeast Asian beliefs, Brumm lists stone and bronze axes, invertebrate fossils, ceramic jars, and tektites among objects identified as thunderstones (</w:t>
      </w:r>
      <w:r w:rsidDel="00000000" w:rsidR="00000000" w:rsidRPr="00000000">
        <w:rPr>
          <w:rFonts w:ascii="Times New Roman" w:cs="Times New Roman" w:eastAsia="Times New Roman" w:hAnsi="Times New Roman"/>
          <w:sz w:val="24"/>
          <w:szCs w:val="24"/>
          <w:rtl w:val="0"/>
        </w:rPr>
        <w:t xml:space="preserve">2018</w:t>
      </w:r>
      <w:r w:rsidDel="00000000" w:rsidR="00000000" w:rsidRPr="00000000">
        <w:rPr>
          <w:rFonts w:ascii="Times New Roman" w:cs="Times New Roman" w:eastAsia="Times New Roman" w:hAnsi="Times New Roman"/>
          <w:sz w:val="24"/>
          <w:szCs w:val="24"/>
          <w:rtl w:val="0"/>
        </w:rPr>
        <w:t xml:space="preserve">). Swallowstone often encompasses gastropod opercula, orbitoline foraminifera (†Orbitolinidae), and small clasts of agate (</w:t>
      </w:r>
      <w:r w:rsidDel="00000000" w:rsidR="00000000" w:rsidRPr="00000000">
        <w:rPr>
          <w:rFonts w:ascii="Times New Roman" w:cs="Times New Roman" w:eastAsia="Times New Roman" w:hAnsi="Times New Roman"/>
          <w:sz w:val="24"/>
          <w:szCs w:val="24"/>
          <w:rtl w:val="0"/>
        </w:rPr>
        <w:t xml:space="preserve">Duffin 2013:81</w:t>
      </w:r>
      <w:r w:rsidDel="00000000" w:rsidR="00000000" w:rsidRPr="00000000">
        <w:rPr>
          <w:rFonts w:ascii="Times New Roman" w:cs="Times New Roman" w:eastAsia="Times New Roman" w:hAnsi="Times New Roman"/>
          <w:sz w:val="24"/>
          <w:szCs w:val="24"/>
          <w:rtl w:val="0"/>
        </w:rPr>
        <w:t xml:space="preserve">). Further, there are often significant shifts and juxtapositions in their identity, which make modern geological classification nearly impossible. During the colonial period in South America, the European </w:t>
      </w:r>
      <w:r w:rsidDel="00000000" w:rsidR="00000000" w:rsidRPr="00000000">
        <w:rPr>
          <w:rFonts w:ascii="Times New Roman" w:cs="Times New Roman" w:eastAsia="Times New Roman" w:hAnsi="Times New Roman"/>
          <w:i w:val="1"/>
          <w:iCs w:val="1"/>
          <w:sz w:val="24"/>
          <w:szCs w:val="24"/>
          <w:rtl w:val="0"/>
        </w:rPr>
        <w:t xml:space="preserve">aetites </w:t>
      </w:r>
      <w:r w:rsidDel="00000000" w:rsidR="00000000" w:rsidRPr="00000000">
        <w:rPr>
          <w:rFonts w:ascii="Times New Roman" w:cs="Times New Roman" w:eastAsia="Times New Roman" w:hAnsi="Times New Roman"/>
          <w:sz w:val="24"/>
          <w:szCs w:val="24"/>
          <w:rtl w:val="0"/>
        </w:rPr>
        <w:t xml:space="preserve">(or ‘eaglestone’) </w:t>
      </w:r>
      <w:r w:rsidDel="00000000" w:rsidR="00000000" w:rsidRPr="00000000">
        <w:rPr>
          <w:rFonts w:ascii="Times New Roman" w:cs="Times New Roman" w:eastAsia="Times New Roman" w:hAnsi="Times New Roman"/>
          <w:sz w:val="24"/>
          <w:szCs w:val="24"/>
          <w:rtl w:val="0"/>
        </w:rPr>
        <w:t xml:space="preserve">transformed from any stone which rattled when shaken to native Andean rocks, including fossils like †</w:t>
      </w:r>
      <w:r w:rsidDel="00000000" w:rsidR="00000000" w:rsidRPr="00000000">
        <w:rPr>
          <w:rFonts w:ascii="Times New Roman" w:cs="Times New Roman" w:eastAsia="Times New Roman" w:hAnsi="Times New Roman"/>
          <w:i w:val="1"/>
          <w:iCs w:val="1"/>
          <w:sz w:val="24"/>
          <w:szCs w:val="24"/>
          <w:rtl w:val="0"/>
        </w:rPr>
        <w:t xml:space="preserve">Neospirifer condor</w:t>
      </w:r>
      <w:r w:rsidDel="00000000" w:rsidR="00000000" w:rsidRPr="00000000">
        <w:rPr>
          <w:rFonts w:ascii="Times New Roman" w:cs="Times New Roman" w:eastAsia="Times New Roman" w:hAnsi="Times New Roman"/>
          <w:sz w:val="24"/>
          <w:szCs w:val="24"/>
          <w:rtl w:val="0"/>
        </w:rPr>
        <w:t xml:space="preserve"> (Podgorny 2017). </w:t>
      </w:r>
    </w:p>
    <w:p w:rsidR="00000000" w:rsidDel="00000000" w:rsidP="00000000" w:rsidRDefault="00000000" w:rsidRPr="00000000" w14:paraId="00000018">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reduction of these </w:t>
      </w:r>
      <w:r w:rsidDel="00000000" w:rsidR="00000000" w:rsidRPr="00000000">
        <w:rPr>
          <w:rFonts w:ascii="Times New Roman" w:cs="Times New Roman" w:eastAsia="Times New Roman" w:hAnsi="Times New Roman"/>
          <w:sz w:val="24"/>
          <w:szCs w:val="24"/>
          <w:rtl w:val="0"/>
        </w:rPr>
        <w:t xml:space="preserve">knowledges</w:t>
      </w:r>
      <w:r w:rsidDel="00000000" w:rsidR="00000000" w:rsidRPr="00000000">
        <w:rPr>
          <w:rFonts w:ascii="Times New Roman" w:cs="Times New Roman" w:eastAsia="Times New Roman" w:hAnsi="Times New Roman"/>
          <w:sz w:val="24"/>
          <w:szCs w:val="24"/>
          <w:rtl w:val="0"/>
        </w:rPr>
        <w:t xml:space="preserve"> and their associated practices into mere ‘geomyths’ obscures the wider cosmology they are embedded in and the relations they reflect. Geomythology privileges modern Western scientific accounts as the canon with which to measure all others. If some phenomenon fails to measure up, it is an “ex post facto” geomyth and </w:t>
      </w:r>
      <w:r w:rsidDel="00000000" w:rsidR="00000000" w:rsidRPr="00000000">
        <w:rPr>
          <w:rFonts w:ascii="Times New Roman" w:cs="Times New Roman" w:eastAsia="Times New Roman" w:hAnsi="Times New Roman"/>
          <w:sz w:val="24"/>
          <w:szCs w:val="24"/>
          <w:rtl w:val="0"/>
        </w:rPr>
        <w:t xml:space="preserve">does “not</w:t>
      </w:r>
      <w:r w:rsidDel="00000000" w:rsidR="00000000" w:rsidRPr="00000000">
        <w:rPr>
          <w:rFonts w:ascii="Gungsuh" w:cs="Gungsuh" w:eastAsia="Gungsuh" w:hAnsi="Gungsuh"/>
          <w:sz w:val="24"/>
          <w:szCs w:val="24"/>
          <w:rtl w:val="0"/>
        </w:rPr>
        <w:t xml:space="preserve"> properly come under geomythology as defined” (Vitaliano, pg. 6). Medicinal dragon bones (龍骨 </w:t>
      </w:r>
      <w:r w:rsidDel="00000000" w:rsidR="00000000" w:rsidRPr="00000000">
        <w:rPr>
          <w:rFonts w:ascii="Times New Roman" w:cs="Times New Roman" w:eastAsia="Times New Roman" w:hAnsi="Times New Roman"/>
          <w:i w:val="1"/>
          <w:iCs w:val="1"/>
          <w:sz w:val="24"/>
          <w:szCs w:val="24"/>
          <w:rtl w:val="0"/>
        </w:rPr>
        <w:t xml:space="preserve">lónggǔ</w:t>
      </w:r>
      <w:r w:rsidDel="00000000" w:rsidR="00000000" w:rsidRPr="00000000">
        <w:rPr>
          <w:rFonts w:ascii="Times New Roman" w:cs="Times New Roman" w:eastAsia="Times New Roman" w:hAnsi="Times New Roman"/>
          <w:sz w:val="24"/>
          <w:szCs w:val="24"/>
          <w:rtl w:val="0"/>
        </w:rPr>
        <w:t xml:space="preserve">) utilized in Chinese medicine are lauded as part of a “universal geomyth” (Burbery 2021:19-21) because Western paleontologists identify them as the remains of extinct mammals. Medicinal cinnabar – long held in the West as a mixture of dragon and elephant blood (Basile 2023) – is not. Yet both substances were found to be important to the practice of medicine in no small part due to their organic origin, whether real or imagined.</w:t>
      </w:r>
    </w:p>
    <w:p w:rsidR="00000000" w:rsidDel="00000000" w:rsidP="00000000" w:rsidRDefault="00000000" w:rsidRPr="00000000" w14:paraId="00000019">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seems, then, that ethnopaleontology has an ontological problem: the subject matter it presupposes in fact obscures the cultural structures which produce that data. The fossil, so constructed, can only exist in a sort of anachronistic hindsight. </w:t>
      </w:r>
    </w:p>
    <w:p w:rsidR="00000000" w:rsidDel="00000000" w:rsidP="00000000" w:rsidRDefault="00000000" w:rsidRPr="00000000" w14:paraId="0000001A">
      <w:pPr>
        <w:spacing w:line="480" w:lineRule="auto"/>
        <w:ind w:left="0" w:righ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righ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Geomythology as Colonial Parallelism</w:t>
      </w:r>
    </w:p>
    <w:p w:rsidR="00000000" w:rsidDel="00000000" w:rsidP="00000000" w:rsidRDefault="00000000" w:rsidRPr="00000000" w14:paraId="0000001C">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geomythology appears to take a decolonial attitude towards the preservation of Indigenous knowledge – retaining an “implicit ‘social justice’ element” as it were (Burbery 2021:8) – the underlying schema of excavated geomyths always mirror Western rationality and never unsettle or disturb its ontology. This strategy resembles what Cutcha Risling Baldy calls </w:t>
      </w:r>
      <w:r w:rsidDel="00000000" w:rsidR="00000000" w:rsidRPr="00000000">
        <w:rPr>
          <w:rFonts w:ascii="Times New Roman" w:cs="Times New Roman" w:eastAsia="Times New Roman" w:hAnsi="Times New Roman"/>
          <w:i w:val="1"/>
          <w:iCs w:val="1"/>
          <w:sz w:val="24"/>
          <w:szCs w:val="24"/>
          <w:rtl w:val="0"/>
        </w:rPr>
        <w:t xml:space="preserve">colonial parallelism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settler move to innocence” that portrays culturally-grounded and situated epistemologies as parallel to, or interchangeable with, Western ideas. According to colonial parallelism, the world can be united through universal experiences – which always happen to reflect Western modes of knowledge.</w:t>
      </w:r>
    </w:p>
    <w:p w:rsidR="00000000" w:rsidDel="00000000" w:rsidP="00000000" w:rsidRDefault="00000000" w:rsidRPr="00000000" w14:paraId="0000001D">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Indeed, geomythology often relies on precisely this strategy. Within geomythology, traditional knowledge is presented within a sort of ‘paleontological supercessionism’: affirmed as ancient precursors, but overtaken and replaced by a superior and more advanced body. Geomythology posits a germ of ahistorical ‘scientific’ observation inherent in contingent cultural narratives, obscured underneath allegorical and mythological language culminating in the </w:t>
      </w:r>
      <w:r w:rsidDel="00000000" w:rsidR="00000000" w:rsidRPr="00000000">
        <w:rPr>
          <w:rFonts w:ascii="Times New Roman" w:cs="Times New Roman" w:eastAsia="Times New Roman" w:hAnsi="Times New Roman"/>
          <w:i w:val="1"/>
          <w:iCs w:val="1"/>
          <w:sz w:val="24"/>
          <w:szCs w:val="24"/>
          <w:rtl w:val="0"/>
        </w:rPr>
        <w:t xml:space="preserve">télos </w:t>
      </w:r>
      <w:r w:rsidDel="00000000" w:rsidR="00000000" w:rsidRPr="00000000">
        <w:rPr>
          <w:rFonts w:ascii="Times New Roman" w:cs="Times New Roman" w:eastAsia="Times New Roman" w:hAnsi="Times New Roman"/>
          <w:sz w:val="24"/>
          <w:szCs w:val="24"/>
          <w:rtl w:val="0"/>
        </w:rPr>
        <w:t xml:space="preserve">of modern paleontology – an end-of-history completely divested of cultural baggage. Thus, proxemic and chronological language is used to describe these “fossil legends” – they “anticipate </w:t>
      </w:r>
      <w:r w:rsidDel="00000000" w:rsidR="00000000" w:rsidRPr="00000000">
        <w:rPr>
          <w:rFonts w:ascii="Times New Roman" w:cs="Times New Roman" w:eastAsia="Times New Roman" w:hAnsi="Times New Roman"/>
          <w:i w:val="1"/>
          <w:iCs w:val="1"/>
          <w:sz w:val="24"/>
          <w:szCs w:val="24"/>
          <w:rtl w:val="0"/>
        </w:rPr>
        <w:t xml:space="preserve">genuine </w:t>
      </w:r>
      <w:r w:rsidDel="00000000" w:rsidR="00000000" w:rsidRPr="00000000">
        <w:rPr>
          <w:rFonts w:ascii="Times New Roman" w:cs="Times New Roman" w:eastAsia="Times New Roman" w:hAnsi="Times New Roman"/>
          <w:sz w:val="24"/>
          <w:szCs w:val="24"/>
          <w:rtl w:val="0"/>
        </w:rPr>
        <w:t xml:space="preserve">discoveries and theorizing in science” (Burbery 2021:8-9, emphasis my own) and contribute to science “[o]nly when correctly interpreted as lithified remains of once-living organisms” (Romano 2024). </w:t>
      </w:r>
    </w:p>
    <w:p w:rsidR="00000000" w:rsidDel="00000000" w:rsidP="00000000" w:rsidRDefault="00000000" w:rsidRPr="00000000" w14:paraId="0000001E">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way, geomythology appropriates the trappings of Indigenous knowledge to bolster the image of Western science as an objective, inert, and culturally-neutral, rather than historical, contingent, and value-laden.</w:t>
      </w:r>
    </w:p>
    <w:p w:rsidR="00000000" w:rsidDel="00000000" w:rsidP="00000000" w:rsidRDefault="00000000" w:rsidRPr="00000000" w14:paraId="0000001F">
      <w:pPr>
        <w:spacing w:line="480" w:lineRule="auto"/>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right="-72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Ethnopaleontology as ethnobiology</w:t>
      </w:r>
    </w:p>
    <w:p w:rsidR="00000000" w:rsidDel="00000000" w:rsidP="00000000" w:rsidRDefault="00000000" w:rsidRPr="00000000" w14:paraId="00000021">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propose that ethnopaleontology must be reconfigured as ethnobiology: a study of interactions between cultures and ecosystems extended over deep time. In this way, ethnopaleontology also provides an opportunity to enrich ethnobiology. I identify two immediate areas of inquiry: one, the cultural boundaries of life, that is, how life is theorized and constructed as an empirical category; and two, the ethnopaleontology of the contemporary West, or the relation scientific-industrial complexes have to ancient life. </w:t>
      </w:r>
    </w:p>
    <w:p w:rsidR="00000000" w:rsidDel="00000000" w:rsidP="00000000" w:rsidRDefault="00000000" w:rsidRPr="00000000" w14:paraId="00000022">
      <w:pPr>
        <w:spacing w:line="480" w:lineRule="auto"/>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righ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cultural construction of life</w:t>
      </w:r>
    </w:p>
    <w:p w:rsidR="00000000" w:rsidDel="00000000" w:rsidP="00000000" w:rsidRDefault="00000000" w:rsidRPr="00000000" w14:paraId="00000024">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notion of “life” as a distinct category of phenomena is not commensurate across cultures. The anthropologist Alfred Irving Hallowell provided an oft-cited anecdote about the animacy of (some) stones among the Ojibwa:</w:t>
      </w:r>
    </w:p>
    <w:p w:rsidR="00000000" w:rsidDel="00000000" w:rsidP="00000000" w:rsidRDefault="00000000" w:rsidRPr="00000000" w14:paraId="00000025">
      <w:pPr>
        <w:spacing w:line="480"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stones are grammatically animate, I once asked an old man: Are </w:t>
      </w:r>
      <w:r w:rsidDel="00000000" w:rsidR="00000000" w:rsidRPr="00000000">
        <w:rPr>
          <w:rFonts w:ascii="Times New Roman" w:cs="Times New Roman" w:eastAsia="Times New Roman" w:hAnsi="Times New Roman"/>
          <w:i w:val="1"/>
          <w:iCs w:val="1"/>
          <w:sz w:val="24"/>
          <w:szCs w:val="24"/>
          <w:rtl w:val="0"/>
        </w:rPr>
        <w:t xml:space="preserve">all </w:t>
      </w:r>
      <w:r w:rsidDel="00000000" w:rsidR="00000000" w:rsidRPr="00000000">
        <w:rPr>
          <w:rFonts w:ascii="Times New Roman" w:cs="Times New Roman" w:eastAsia="Times New Roman" w:hAnsi="Times New Roman"/>
          <w:sz w:val="24"/>
          <w:szCs w:val="24"/>
          <w:rtl w:val="0"/>
        </w:rPr>
        <w:t xml:space="preserve">the stones we see about us here alive?  He </w:t>
      </w:r>
      <w:r w:rsidDel="00000000" w:rsidR="00000000" w:rsidRPr="00000000">
        <w:rPr>
          <w:rFonts w:ascii="Times New Roman" w:cs="Times New Roman" w:eastAsia="Times New Roman" w:hAnsi="Times New Roman"/>
          <w:sz w:val="24"/>
          <w:szCs w:val="24"/>
          <w:rtl w:val="0"/>
        </w:rPr>
        <w:t xml:space="preserve">reflected a long</w:t>
      </w:r>
      <w:r w:rsidDel="00000000" w:rsidR="00000000" w:rsidRPr="00000000">
        <w:rPr>
          <w:rFonts w:ascii="Times New Roman" w:cs="Times New Roman" w:eastAsia="Times New Roman" w:hAnsi="Times New Roman"/>
          <w:sz w:val="24"/>
          <w:szCs w:val="24"/>
          <w:rtl w:val="0"/>
        </w:rPr>
        <w:t xml:space="preserve"> while and then replied, “No! But </w:t>
      </w:r>
      <w:r w:rsidDel="00000000" w:rsidR="00000000" w:rsidRPr="00000000">
        <w:rPr>
          <w:rFonts w:ascii="Times New Roman" w:cs="Times New Roman" w:eastAsia="Times New Roman" w:hAnsi="Times New Roman"/>
          <w:i w:val="1"/>
          <w:iCs w:val="1"/>
          <w:sz w:val="24"/>
          <w:szCs w:val="24"/>
          <w:rtl w:val="0"/>
        </w:rPr>
        <w:t xml:space="preserve">some </w:t>
      </w:r>
      <w:r w:rsidDel="00000000" w:rsidR="00000000" w:rsidRPr="00000000">
        <w:rPr>
          <w:rFonts w:ascii="Times New Roman" w:cs="Times New Roman" w:eastAsia="Times New Roman" w:hAnsi="Times New Roman"/>
          <w:sz w:val="24"/>
          <w:szCs w:val="24"/>
          <w:rtl w:val="0"/>
        </w:rPr>
        <w:t xml:space="preserve">are.” The qualified answer made a lasting impression on me. And it is thoroughly consistent with other data that indicate that the Ojibwa are not animists in the sense that they dogmatically attribute living souls to inanimate objects such as stones. (Hallowell 1960, emphasis in original.)</w:t>
      </w:r>
    </w:p>
    <w:p w:rsidR="00000000" w:rsidDel="00000000" w:rsidP="00000000" w:rsidRDefault="00000000" w:rsidRPr="00000000" w14:paraId="00000026">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Animacy</w:t>
      </w:r>
      <w:r w:rsidDel="00000000" w:rsidR="00000000" w:rsidRPr="00000000">
        <w:rPr>
          <w:rFonts w:ascii="Times New Roman" w:cs="Times New Roman" w:eastAsia="Times New Roman" w:hAnsi="Times New Roman"/>
          <w:sz w:val="24"/>
          <w:szCs w:val="24"/>
          <w:rtl w:val="0"/>
        </w:rPr>
        <w:t xml:space="preserve"> extended to stones abound in the historical record as well. Describing the geology given in the </w:t>
      </w:r>
      <w:r w:rsidDel="00000000" w:rsidR="00000000" w:rsidRPr="00000000">
        <w:rPr>
          <w:rFonts w:ascii="Times New Roman" w:cs="Times New Roman" w:eastAsia="Times New Roman" w:hAnsi="Times New Roman"/>
          <w:i w:val="1"/>
          <w:iCs w:val="1"/>
          <w:sz w:val="24"/>
          <w:szCs w:val="24"/>
          <w:rtl w:val="0"/>
        </w:rPr>
        <w:t xml:space="preserve">Book of Minerals </w:t>
      </w:r>
      <w:r w:rsidDel="00000000" w:rsidR="00000000" w:rsidRPr="00000000">
        <w:rPr>
          <w:rFonts w:ascii="Times New Roman" w:cs="Times New Roman" w:eastAsia="Times New Roman" w:hAnsi="Times New Roman"/>
          <w:sz w:val="24"/>
          <w:szCs w:val="24"/>
          <w:rtl w:val="0"/>
        </w:rPr>
        <w:t xml:space="preserve">of medieval polymath Albertus Magnus, Jeffrey Cohen writes that “stones forge relations, manifesting a queer kind of life” – though Albertus goes to great efforts to deny the notion that stones have a soul, he simultaneously affirms that “motion, mutability, sexual difference, reproduction, expansive worldedness, desire” occur in the lithic. (Cohen 2015) The </w:t>
      </w:r>
      <w:r w:rsidDel="00000000" w:rsidR="00000000" w:rsidRPr="00000000">
        <w:rPr>
          <w:rFonts w:ascii="Times New Roman" w:cs="Times New Roman" w:eastAsia="Times New Roman" w:hAnsi="Times New Roman"/>
          <w:i w:val="1"/>
          <w:iCs w:val="1"/>
          <w:sz w:val="24"/>
          <w:szCs w:val="24"/>
          <w:rtl w:val="0"/>
        </w:rPr>
        <w:t xml:space="preserve">Lapidary of King Philip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 Middle English translation of a French text from the fourteenth century, describes several enigmatic minerals in association with animals, although they are not fossils in the modern sense of the word. </w:t>
      </w:r>
      <w:r w:rsidDel="00000000" w:rsidR="00000000" w:rsidRPr="00000000">
        <w:rPr>
          <w:rFonts w:ascii="Times New Roman" w:cs="Times New Roman" w:eastAsia="Times New Roman" w:hAnsi="Times New Roman"/>
          <w:i w:val="1"/>
          <w:iCs w:val="1"/>
          <w:sz w:val="24"/>
          <w:szCs w:val="24"/>
          <w:rtl w:val="0"/>
        </w:rPr>
        <w:t xml:space="preserve">Ligure </w:t>
      </w:r>
      <w:r w:rsidDel="00000000" w:rsidR="00000000" w:rsidRPr="00000000">
        <w:rPr>
          <w:rFonts w:ascii="Times New Roman" w:cs="Times New Roman" w:eastAsia="Times New Roman" w:hAnsi="Times New Roman"/>
          <w:sz w:val="24"/>
          <w:szCs w:val="24"/>
          <w:rtl w:val="0"/>
        </w:rPr>
        <w:t xml:space="preserve">is found in a lynx’s throat;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while </w:t>
      </w:r>
      <w:r w:rsidDel="00000000" w:rsidR="00000000" w:rsidRPr="00000000">
        <w:rPr>
          <w:rFonts w:ascii="Times New Roman" w:cs="Times New Roman" w:eastAsia="Times New Roman" w:hAnsi="Times New Roman"/>
          <w:i w:val="1"/>
          <w:iCs w:val="1"/>
          <w:sz w:val="24"/>
          <w:szCs w:val="24"/>
          <w:rtl w:val="0"/>
        </w:rPr>
        <w:t xml:space="preserve">allectories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iCs w:val="1"/>
          <w:sz w:val="24"/>
          <w:szCs w:val="24"/>
          <w:rtl w:val="0"/>
        </w:rPr>
        <w:t xml:space="preserve">celidoyne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found in the innards of birds – the capon and the swallow, respectively. By their relation to these animals, the stones themselves retain (or </w:t>
      </w:r>
      <w:r w:rsidDel="00000000" w:rsidR="00000000" w:rsidRPr="00000000">
        <w:rPr>
          <w:rFonts w:ascii="Times New Roman" w:cs="Times New Roman" w:eastAsia="Times New Roman" w:hAnsi="Times New Roman"/>
          <w:sz w:val="24"/>
          <w:szCs w:val="24"/>
          <w:rtl w:val="0"/>
        </w:rPr>
        <w:t xml:space="preserve">obtain</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healing power. </w:t>
      </w:r>
    </w:p>
    <w:p w:rsidR="00000000" w:rsidDel="00000000" w:rsidP="00000000" w:rsidRDefault="00000000" w:rsidRPr="00000000" w14:paraId="00000027">
      <w:pPr>
        <w:spacing w:line="48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Pierotti sees resonances between modern </w:t>
      </w:r>
      <w:r w:rsidDel="00000000" w:rsidR="00000000" w:rsidRPr="00000000">
        <w:rPr>
          <w:rFonts w:ascii="Times New Roman" w:cs="Times New Roman" w:eastAsia="Times New Roman" w:hAnsi="Times New Roman"/>
          <w:sz w:val="24"/>
          <w:szCs w:val="24"/>
          <w:rtl w:val="0"/>
        </w:rPr>
        <w:t xml:space="preserve">constructal</w:t>
      </w:r>
      <w:r w:rsidDel="00000000" w:rsidR="00000000" w:rsidRPr="00000000">
        <w:rPr>
          <w:rFonts w:ascii="Times New Roman" w:cs="Times New Roman" w:eastAsia="Times New Roman" w:hAnsi="Times New Roman"/>
          <w:sz w:val="24"/>
          <w:szCs w:val="24"/>
          <w:rtl w:val="0"/>
        </w:rPr>
        <w:t xml:space="preserve"> theory, traditional Aristotelian </w:t>
      </w:r>
      <w:r w:rsidDel="00000000" w:rsidR="00000000" w:rsidRPr="00000000">
        <w:rPr>
          <w:rFonts w:ascii="Times New Roman" w:cs="Times New Roman" w:eastAsia="Times New Roman" w:hAnsi="Times New Roman"/>
          <w:sz w:val="24"/>
          <w:szCs w:val="24"/>
          <w:rtl w:val="0"/>
        </w:rPr>
        <w:t xml:space="preserve">psychology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4 </w:t>
      </w:r>
      <w:r w:rsidDel="00000000" w:rsidR="00000000" w:rsidRPr="00000000">
        <w:rPr>
          <w:rFonts w:ascii="Times New Roman" w:cs="Times New Roman" w:eastAsia="Times New Roman" w:hAnsi="Times New Roman"/>
          <w:sz w:val="24"/>
          <w:szCs w:val="24"/>
          <w:rtl w:val="0"/>
        </w:rPr>
        <w:t xml:space="preserve">and Indigenous ways of knowing that “consider bodies of water, air (winds), and even stone to be ‘alive’”: they all prioritize flows, gradients, and movement in their conceptions of animacy (Pierotti 2015). Similarly, the sympathy between inorganic and organic forms used by early modern philosophers to explain fossils, derives from a similarly rich cosmology: Neoplatonic hylozoism, which “oppose[s] any global vitalistic distinction between living and non living matter” (Jordan 2016:97). The </w:t>
      </w:r>
      <w:r w:rsidDel="00000000" w:rsidR="00000000" w:rsidRPr="00000000">
        <w:rPr>
          <w:rFonts w:ascii="Times New Roman" w:cs="Times New Roman" w:eastAsia="Times New Roman" w:hAnsi="Times New Roman"/>
          <w:i w:val="1"/>
          <w:iCs w:val="1"/>
          <w:sz w:val="24"/>
          <w:szCs w:val="24"/>
          <w:rtl w:val="0"/>
        </w:rPr>
        <w:t xml:space="preserve">Lapidary</w:t>
      </w:r>
      <w:r w:rsidDel="00000000" w:rsidR="00000000" w:rsidRPr="00000000">
        <w:rPr>
          <w:rFonts w:ascii="Times New Roman" w:cs="Times New Roman" w:eastAsia="Times New Roman" w:hAnsi="Times New Roman"/>
          <w:sz w:val="24"/>
          <w:szCs w:val="24"/>
          <w:rtl w:val="0"/>
        </w:rPr>
        <w:t xml:space="preserve">, too, suggests an extended animacy, in which certain materials inherit the virtues of animals, thereby becoming economically, medically, and often theologically valuable.</w:t>
      </w:r>
    </w:p>
    <w:p w:rsidR="00000000" w:rsidDel="00000000" w:rsidP="00000000" w:rsidRDefault="00000000" w:rsidRPr="00000000" w14:paraId="00000028">
      <w:pPr>
        <w:spacing w:line="48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rich cosmologies exceed the narrative of scientific progress assumed and augmented by geomythology. Most importantly, geomythology misses the way they can inform and disturb our received notions of animancy and subjecthood – not only in our conceptual analysis of ethnographic data, but in our daily lives, perhaps contributing to a more ethical, and frankly interesting, mode of engagement with the natural world.</w:t>
      </w:r>
    </w:p>
    <w:p w:rsidR="00000000" w:rsidDel="00000000" w:rsidP="00000000" w:rsidRDefault="00000000" w:rsidRPr="00000000" w14:paraId="00000029">
      <w:pPr>
        <w:spacing w:line="480" w:lineRule="auto"/>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right="-7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Ethnopaleontology of the contemporary West</w:t>
      </w:r>
    </w:p>
    <w:p w:rsidR="00000000" w:rsidDel="00000000" w:rsidP="00000000" w:rsidRDefault="00000000" w:rsidRPr="00000000" w14:paraId="0000002B">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Geomythology, with its ingrained culture-science dichotomy, cannot analyze the cultural life of paleontology in the contemporary West. This is not unique to geomythology, as indeed “[m]ost cultural studies of scientific thought ignore one culture, the very one that brings us Western science” (Medin &amp; Bang 2014:24). However, it is particularly troubling as global industrial society is dependent on the exploitation of fossil resources, which is perhaps the primary driver of climate change. Poli and Stoneman are frustratingly close to such an analysis, but their discussion of the “human need for fuel and the greed of the industry moguls” is tied inseparably to their hypothesis that “coal may have birthed a mythical animal”, that is, the dragon (Poli &amp; Stoneman 2019). As such, their work is stringently foreclosed by geomythology. </w:t>
      </w:r>
    </w:p>
    <w:p w:rsidR="00000000" w:rsidDel="00000000" w:rsidP="00000000" w:rsidRDefault="00000000" w:rsidRPr="00000000" w14:paraId="0000002C">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 &amp; Stoneman thus miss the most relevant and historically-apparent connection that coal has to living beings: timber. The jurist Johann Philipp Bünting, in his </w:t>
      </w:r>
      <w:r w:rsidDel="00000000" w:rsidR="00000000" w:rsidRPr="00000000">
        <w:rPr>
          <w:rFonts w:ascii="Times New Roman" w:cs="Times New Roman" w:eastAsia="Times New Roman" w:hAnsi="Times New Roman"/>
          <w:i w:val="1"/>
          <w:iCs w:val="1"/>
          <w:sz w:val="24"/>
          <w:szCs w:val="24"/>
          <w:rtl w:val="0"/>
        </w:rPr>
        <w:t xml:space="preserve">Sylva subterranea </w:t>
      </w:r>
      <w:r w:rsidDel="00000000" w:rsidR="00000000" w:rsidRPr="00000000">
        <w:rPr>
          <w:rFonts w:ascii="Times New Roman" w:cs="Times New Roman" w:eastAsia="Times New Roman" w:hAnsi="Times New Roman"/>
          <w:sz w:val="24"/>
          <w:szCs w:val="24"/>
          <w:rtl w:val="0"/>
        </w:rPr>
        <w:t xml:space="preserve">of 1693, describes</w:t>
      </w:r>
      <w:r w:rsidDel="00000000" w:rsidR="00000000" w:rsidRPr="00000000">
        <w:rPr>
          <w:rFonts w:ascii="Times New Roman" w:cs="Times New Roman" w:eastAsia="Times New Roman" w:hAnsi="Times New Roman"/>
          <w:sz w:val="24"/>
          <w:szCs w:val="24"/>
          <w:rtl w:val="0"/>
        </w:rPr>
        <w:t xml:space="preserve"> fossil fuels as a chthonic reflection of above-ground forests, an underground woodland. </w:t>
      </w:r>
      <w:r w:rsidDel="00000000" w:rsidR="00000000" w:rsidRPr="00000000">
        <w:rPr>
          <w:rFonts w:ascii="Times New Roman" w:cs="Times New Roman" w:eastAsia="Times New Roman" w:hAnsi="Times New Roman"/>
          <w:sz w:val="24"/>
          <w:szCs w:val="24"/>
          <w:rtl w:val="0"/>
        </w:rPr>
        <w:t xml:space="preserve">Rather than a metaphor, it is a literal explanation of its formation: “just as wood permanently grows in above-ground forests that humans may harvest in a sustainable manner, so coals grow in the underground forests” (Sieferle 2001:181-184). Bünting echoes alchemical theories still popular at the end of the 17th century, in which inorganic matter, especially metals, could possess “a lifecycle encompassing birth, growth, reproduction, decay, and eventual death”, where “founts of liquid bitumen and soil”, likened to bodily fluids, could flower with tin, silver, and white gold (Carlotta &amp; Martelli 2023). Whether the move away from this ancient-medieval hylozoism has contributed to the ecological destruction is outside the scope of this article, but it is an avenue for future research that geomythology cannot grasp.</w:t>
      </w:r>
    </w:p>
    <w:p w:rsidR="00000000" w:rsidDel="00000000" w:rsidP="00000000" w:rsidRDefault="00000000" w:rsidRPr="00000000" w14:paraId="0000002D">
      <w:pPr>
        <w:spacing w:line="480" w:lineRule="auto"/>
        <w:ind w:left="0"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directly, there are communities – especially in the global South but also elsewhere – that economically depend on non-fuel fossil extraction. Over 50,000 people in southern Morocco are dependent on the fossil trade, an industry which generates an estimated $40 million per year (Gutiérrez-Marco &amp; García-Bellido 2018). How these communities relate with and interpret fossils is, at present, mostly unrecorded – but again, we see geomythology wholly unequipped to investigate such situations, as mythology or folklore is unlikely to be a major factor for industrial workers interfacing with Western paleontology.</w:t>
      </w:r>
    </w:p>
    <w:p w:rsidR="00000000" w:rsidDel="00000000" w:rsidP="00000000" w:rsidRDefault="00000000" w:rsidRPr="00000000" w14:paraId="0000002E">
      <w:pPr>
        <w:spacing w:line="480" w:lineRule="auto"/>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0" w:righ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Conclusions</w:t>
      </w:r>
    </w:p>
    <w:p w:rsidR="00000000" w:rsidDel="00000000" w:rsidP="00000000" w:rsidRDefault="00000000" w:rsidRPr="00000000" w14:paraId="00000030">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Ethnopaleontology is situated in the interval between the mineral and organic, between life and nonlife – it warrants a close interrogation of the juxtaposition between these two categories beyond, and often in opposition to, the account given by geomythology. This is doubly unfortunate, because not only are there interesting currents of thought and cultural practice underlying these “myths” that are subsumed into its narrative of scientific progress and thereby lost, but it obscures the immediate relevance ethnopaleontology has to extractive economies reliant on fossil fuels. </w:t>
      </w:r>
    </w:p>
    <w:p w:rsidR="00000000" w:rsidDel="00000000" w:rsidP="00000000" w:rsidRDefault="00000000" w:rsidRPr="00000000" w14:paraId="00000031">
      <w:pPr>
        <w:spacing w:line="480" w:lineRule="auto"/>
        <w:ind w:righ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Unraveling the relationships between people, the environment, and ancient organisms calls for a more robust methodology. This robust methodology should be articulated as the study of cultures, embedded in ecosystems extended over deep time – an ethnobiology of fossils.</w:t>
      </w:r>
    </w:p>
    <w:p w:rsidR="00000000" w:rsidDel="00000000" w:rsidP="00000000" w:rsidRDefault="00000000" w:rsidRPr="00000000" w14:paraId="00000032">
      <w:pPr>
        <w:spacing w:line="48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left="0" w:righ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Endnotes</w:t>
      </w:r>
    </w:p>
    <w:p w:rsidR="00000000" w:rsidDel="00000000" w:rsidP="00000000" w:rsidRDefault="00000000" w:rsidRPr="00000000" w14:paraId="00000034">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Moura &amp; Albuquerque (2012)</w:t>
      </w:r>
      <w:r w:rsidDel="00000000" w:rsidR="00000000" w:rsidRPr="00000000">
        <w:rPr>
          <w:rFonts w:ascii="Times New Roman" w:cs="Times New Roman" w:eastAsia="Times New Roman" w:hAnsi="Times New Roman"/>
          <w:sz w:val="24"/>
          <w:szCs w:val="24"/>
          <w:rtl w:val="0"/>
        </w:rPr>
        <w:t xml:space="preserve"> proposed ethnopaleontology as a “new discipline” which they consciously placed subordinate to geomythology. However, they were preceded by </w:t>
      </w:r>
      <w:r w:rsidDel="00000000" w:rsidR="00000000" w:rsidRPr="00000000">
        <w:rPr>
          <w:rFonts w:ascii="Times New Roman" w:cs="Times New Roman" w:eastAsia="Times New Roman" w:hAnsi="Times New Roman"/>
          <w:sz w:val="24"/>
          <w:szCs w:val="24"/>
          <w:rtl w:val="0"/>
        </w:rPr>
        <w:t xml:space="preserve">Astudillo-Pombo (2010),</w:t>
      </w:r>
      <w:r w:rsidDel="00000000" w:rsidR="00000000" w:rsidRPr="00000000">
        <w:rPr>
          <w:rFonts w:ascii="Times New Roman" w:cs="Times New Roman" w:eastAsia="Times New Roman" w:hAnsi="Times New Roman"/>
          <w:sz w:val="24"/>
          <w:szCs w:val="24"/>
          <w:rtl w:val="0"/>
        </w:rPr>
        <w:t xml:space="preserve"> who places it under cultural paleontology (</w:t>
      </w:r>
      <w:r w:rsidDel="00000000" w:rsidR="00000000" w:rsidRPr="00000000">
        <w:rPr>
          <w:rFonts w:ascii="Times New Roman" w:cs="Times New Roman" w:eastAsia="Times New Roman" w:hAnsi="Times New Roman"/>
          <w:i w:val="1"/>
          <w:iCs w:val="1"/>
          <w:sz w:val="24"/>
          <w:szCs w:val="24"/>
          <w:rtl w:val="0"/>
        </w:rPr>
        <w:t xml:space="preserve">paleontología cultural</w:t>
      </w:r>
      <w:r w:rsidDel="00000000" w:rsidR="00000000" w:rsidRPr="00000000">
        <w:rPr>
          <w:rFonts w:ascii="Times New Roman" w:cs="Times New Roman" w:eastAsia="Times New Roman" w:hAnsi="Times New Roman"/>
          <w:sz w:val="24"/>
          <w:szCs w:val="24"/>
          <w:rtl w:val="0"/>
        </w:rPr>
        <w:t xml:space="preserve">), which in his usage denotes the study of “non-scientific” (</w:t>
      </w:r>
      <w:r w:rsidDel="00000000" w:rsidR="00000000" w:rsidRPr="00000000">
        <w:rPr>
          <w:rFonts w:ascii="Times New Roman" w:cs="Times New Roman" w:eastAsia="Times New Roman" w:hAnsi="Times New Roman"/>
          <w:i w:val="1"/>
          <w:iCs w:val="1"/>
          <w:sz w:val="24"/>
          <w:szCs w:val="24"/>
          <w:rtl w:val="0"/>
        </w:rPr>
        <w:t xml:space="preserve">no cientíﬁco</w:t>
      </w:r>
      <w:r w:rsidDel="00000000" w:rsidR="00000000" w:rsidRPr="00000000">
        <w:rPr>
          <w:rFonts w:ascii="Times New Roman" w:cs="Times New Roman" w:eastAsia="Times New Roman" w:hAnsi="Times New Roman"/>
          <w:sz w:val="24"/>
          <w:szCs w:val="24"/>
          <w:rtl w:val="0"/>
        </w:rPr>
        <w:t xml:space="preserve">) cultural aspects of fossils. </w:t>
      </w:r>
      <w:r w:rsidDel="00000000" w:rsidR="00000000" w:rsidRPr="00000000">
        <w:rPr>
          <w:rFonts w:ascii="Times New Roman" w:cs="Times New Roman" w:eastAsia="Times New Roman" w:hAnsi="Times New Roman"/>
          <w:i w:val="1"/>
          <w:iCs w:val="1"/>
          <w:sz w:val="24"/>
          <w:szCs w:val="24"/>
          <w:rtl w:val="0"/>
        </w:rPr>
        <w:t xml:space="preserve">Fossil folklore</w:t>
      </w:r>
      <w:r w:rsidDel="00000000" w:rsidR="00000000" w:rsidRPr="00000000">
        <w:rPr>
          <w:rFonts w:ascii="Times New Roman" w:cs="Times New Roman" w:eastAsia="Times New Roman" w:hAnsi="Times New Roman"/>
          <w:sz w:val="24"/>
          <w:szCs w:val="24"/>
          <w:rtl w:val="0"/>
        </w:rPr>
        <w:t xml:space="preserve"> is an older term, and carries the same stigma as other folk sciences. While none of these terms are sufficient, I use </w:t>
      </w:r>
      <w:r w:rsidDel="00000000" w:rsidR="00000000" w:rsidRPr="00000000">
        <w:rPr>
          <w:rFonts w:ascii="Times New Roman" w:cs="Times New Roman" w:eastAsia="Times New Roman" w:hAnsi="Times New Roman"/>
          <w:i w:val="1"/>
          <w:iCs w:val="1"/>
          <w:sz w:val="24"/>
          <w:szCs w:val="24"/>
          <w:rtl w:val="0"/>
        </w:rPr>
        <w:t xml:space="preserve">ethnopaleontology</w:t>
      </w:r>
      <w:r w:rsidDel="00000000" w:rsidR="00000000" w:rsidRPr="00000000">
        <w:rPr>
          <w:rFonts w:ascii="Times New Roman" w:cs="Times New Roman" w:eastAsia="Times New Roman" w:hAnsi="Times New Roman"/>
          <w:sz w:val="24"/>
          <w:szCs w:val="24"/>
          <w:rtl w:val="0"/>
        </w:rPr>
        <w:t xml:space="preserve"> as a heuristic to denote the study of human engagement with fossils more broadly, rather than any definitive program.</w:t>
      </w:r>
      <w:r w:rsidDel="00000000" w:rsidR="00000000" w:rsidRPr="00000000">
        <w:rPr>
          <w:rtl w:val="0"/>
        </w:rPr>
      </w:r>
    </w:p>
    <w:p w:rsidR="00000000" w:rsidDel="00000000" w:rsidP="00000000" w:rsidRDefault="00000000" w:rsidRPr="00000000" w14:paraId="00000035">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I have used the edition given in Evans &amp; Serjeantson (1960:17-27).</w:t>
      </w:r>
    </w:p>
    <w:p w:rsidR="00000000" w:rsidDel="00000000" w:rsidP="00000000" w:rsidRDefault="00000000" w:rsidRPr="00000000" w14:paraId="00000036">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It is not always clear whether these minerals are actually produced by the animal, or merely collected by them for their own use.</w:t>
      </w:r>
    </w:p>
    <w:p w:rsidR="00000000" w:rsidDel="00000000" w:rsidP="00000000" w:rsidRDefault="00000000" w:rsidRPr="00000000" w14:paraId="00000037">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i w:val="1"/>
          <w:iCs w:val="1"/>
          <w:sz w:val="24"/>
          <w:szCs w:val="24"/>
          <w:rtl w:val="0"/>
        </w:rPr>
        <w:t xml:space="preserve">Psychology</w:t>
      </w:r>
      <w:r w:rsidDel="00000000" w:rsidR="00000000" w:rsidRPr="00000000">
        <w:rPr>
          <w:rFonts w:ascii="Times New Roman" w:cs="Times New Roman" w:eastAsia="Times New Roman" w:hAnsi="Times New Roman"/>
          <w:sz w:val="24"/>
          <w:szCs w:val="24"/>
          <w:rtl w:val="0"/>
        </w:rPr>
        <w:t xml:space="preserve"> here is used in the older sense of a ‘theory of soul’ (ψυχή </w:t>
      </w:r>
      <w:r w:rsidDel="00000000" w:rsidR="00000000" w:rsidRPr="00000000">
        <w:rPr>
          <w:rFonts w:ascii="Times New Roman" w:cs="Times New Roman" w:eastAsia="Times New Roman" w:hAnsi="Times New Roman"/>
          <w:i w:val="1"/>
          <w:iCs w:val="1"/>
          <w:sz w:val="24"/>
          <w:szCs w:val="24"/>
          <w:rtl w:val="0"/>
        </w:rPr>
        <w:t xml:space="preserve">psukhḗ</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spacing w:line="480" w:lineRule="auto"/>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right="-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Declarations</w:t>
      </w:r>
    </w:p>
    <w:p w:rsidR="00000000" w:rsidDel="00000000" w:rsidP="00000000" w:rsidRDefault="00000000" w:rsidRPr="00000000" w14:paraId="0000003A">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Permissions</w:t>
      </w:r>
      <w:r w:rsidDel="00000000" w:rsidR="00000000" w:rsidRPr="00000000">
        <w:rPr>
          <w:rFonts w:ascii="Times New Roman" w:cs="Times New Roman" w:eastAsia="Times New Roman" w:hAnsi="Times New Roman"/>
          <w:sz w:val="24"/>
          <w:szCs w:val="24"/>
          <w:rtl w:val="0"/>
        </w:rPr>
        <w:t xml:space="preserve">: None declared.</w:t>
      </w:r>
    </w:p>
    <w:p w:rsidR="00000000" w:rsidDel="00000000" w:rsidP="00000000" w:rsidRDefault="00000000" w:rsidRPr="00000000" w14:paraId="0000003B">
      <w:pPr>
        <w:spacing w:line="480" w:lineRule="auto"/>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Sources of Funding</w:t>
      </w:r>
      <w:r w:rsidDel="00000000" w:rsidR="00000000" w:rsidRPr="00000000">
        <w:rPr>
          <w:rFonts w:ascii="Times New Roman" w:cs="Times New Roman" w:eastAsia="Times New Roman" w:hAnsi="Times New Roman"/>
          <w:sz w:val="24"/>
          <w:szCs w:val="24"/>
          <w:rtl w:val="0"/>
        </w:rPr>
        <w:t xml:space="preserve">: None declared.</w:t>
      </w:r>
    </w:p>
    <w:p w:rsidR="00000000" w:rsidDel="00000000" w:rsidP="00000000" w:rsidRDefault="00000000" w:rsidRPr="00000000" w14:paraId="0000003C">
      <w:pPr>
        <w:spacing w:line="480" w:lineRule="auto"/>
        <w:ind w:left="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Conflicts of Interest</w:t>
      </w:r>
      <w:r w:rsidDel="00000000" w:rsidR="00000000" w:rsidRPr="00000000">
        <w:rPr>
          <w:rFonts w:ascii="Times New Roman" w:cs="Times New Roman" w:eastAsia="Times New Roman" w:hAnsi="Times New Roman"/>
          <w:sz w:val="24"/>
          <w:szCs w:val="24"/>
          <w:rtl w:val="0"/>
        </w:rPr>
        <w:t xml:space="preserve">: None declared.</w:t>
      </w:r>
    </w:p>
    <w:p w:rsidR="00000000" w:rsidDel="00000000" w:rsidP="00000000" w:rsidRDefault="00000000" w:rsidRPr="00000000" w14:paraId="0000003D">
      <w:pPr>
        <w:spacing w:line="480" w:lineRule="auto"/>
        <w:ind w:left="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0" w:righ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Cited</w:t>
      </w:r>
    </w:p>
    <w:p w:rsidR="00000000" w:rsidDel="00000000" w:rsidP="00000000" w:rsidRDefault="00000000" w:rsidRPr="00000000" w14:paraId="0000003F">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Astudillo-Pombo, H. 2010. Paleontología Cultural y Etnopaleontología. Dos Nuevos Enfoques Sobre El Registro Fósil. </w:t>
      </w:r>
      <w:r w:rsidDel="00000000" w:rsidR="00000000" w:rsidRPr="00000000">
        <w:rPr>
          <w:rFonts w:ascii="Times New Roman" w:cs="Times New Roman" w:eastAsia="Times New Roman" w:hAnsi="Times New Roman"/>
          <w:i w:val="1"/>
          <w:iCs w:val="1"/>
          <w:sz w:val="24"/>
          <w:szCs w:val="24"/>
          <w:rtl w:val="0"/>
        </w:rPr>
        <w:t xml:space="preserve">Enseñanza de las Ciencias de la Tierra</w:t>
      </w:r>
      <w:r w:rsidDel="00000000" w:rsidR="00000000" w:rsidRPr="00000000">
        <w:rPr>
          <w:rFonts w:ascii="Times New Roman" w:cs="Times New Roman" w:eastAsia="Times New Roman" w:hAnsi="Times New Roman"/>
          <w:sz w:val="24"/>
          <w:szCs w:val="24"/>
          <w:rtl w:val="0"/>
        </w:rPr>
        <w:t xml:space="preserve"> 18:284–297.</w:t>
      </w:r>
    </w:p>
    <w:p w:rsidR="00000000" w:rsidDel="00000000" w:rsidP="00000000" w:rsidRDefault="00000000" w:rsidRPr="00000000" w14:paraId="00000040">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Baldy, C. R. 2015. Coyote Is Not a Metaphor: On Decolonizing, (Re)Claiming and (Re)Naming “Coyote.” </w:t>
      </w:r>
      <w:r w:rsidDel="00000000" w:rsidR="00000000" w:rsidRPr="00000000">
        <w:rPr>
          <w:rFonts w:ascii="Times New Roman" w:cs="Times New Roman" w:eastAsia="Times New Roman" w:hAnsi="Times New Roman"/>
          <w:i w:val="1"/>
          <w:iCs w:val="1"/>
          <w:sz w:val="24"/>
          <w:szCs w:val="24"/>
          <w:rtl w:val="0"/>
        </w:rPr>
        <w:t xml:space="preserve">Decolonization: Indigeneity, Education &amp; Society</w:t>
      </w: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041">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Basile, G. J. 2023. Dragon's Blood or the Red Delusion: Textual Tradition, Craftsmanship, and Discovery in the Early Modern Period. </w:t>
      </w:r>
      <w:r w:rsidDel="00000000" w:rsidR="00000000" w:rsidRPr="00000000">
        <w:rPr>
          <w:rFonts w:ascii="Times New Roman" w:cs="Times New Roman" w:eastAsia="Times New Roman" w:hAnsi="Times New Roman"/>
          <w:i w:val="1"/>
          <w:iCs w:val="1"/>
          <w:sz w:val="24"/>
          <w:szCs w:val="24"/>
          <w:rtl w:val="0"/>
        </w:rPr>
        <w:t xml:space="preserve">Renaissance Quarterly </w:t>
      </w: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042">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Bednarik, R. 2002. An Acheulian Palaeoart Manuport from Morocco. </w:t>
      </w:r>
      <w:r w:rsidDel="00000000" w:rsidR="00000000" w:rsidRPr="00000000">
        <w:rPr>
          <w:rFonts w:ascii="Times New Roman" w:cs="Times New Roman" w:eastAsia="Times New Roman" w:hAnsi="Times New Roman"/>
          <w:i w:val="1"/>
          <w:iCs w:val="1"/>
          <w:sz w:val="24"/>
          <w:szCs w:val="24"/>
          <w:rtl w:val="0"/>
        </w:rPr>
        <w:t xml:space="preserve">Rock Art Research </w:t>
      </w:r>
      <w:r w:rsidDel="00000000" w:rsidR="00000000" w:rsidRPr="00000000">
        <w:rPr>
          <w:rFonts w:ascii="Times New Roman" w:cs="Times New Roman" w:eastAsia="Times New Roman" w:hAnsi="Times New Roman"/>
          <w:sz w:val="24"/>
          <w:szCs w:val="24"/>
          <w:rtl w:val="0"/>
        </w:rPr>
        <w:t xml:space="preserve">19.</w:t>
      </w:r>
    </w:p>
    <w:p w:rsidR="00000000" w:rsidDel="00000000" w:rsidP="00000000" w:rsidRDefault="00000000" w:rsidRPr="00000000" w14:paraId="00000043">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Benoit, J. 2024. A Possible Later Stone Age Painting of a Dicynodont (Synapsida) from the South African Karoo. </w:t>
      </w:r>
      <w:r w:rsidDel="00000000" w:rsidR="00000000" w:rsidRPr="00000000">
        <w:rPr>
          <w:rFonts w:ascii="Times New Roman" w:cs="Times New Roman" w:eastAsia="Times New Roman" w:hAnsi="Times New Roman"/>
          <w:i w:val="1"/>
          <w:iCs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19. DOI: </w:t>
      </w:r>
      <w:r w:rsidDel="00000000" w:rsidR="00000000" w:rsidRPr="00000000">
        <w:rPr>
          <w:rFonts w:ascii="Times New Roman" w:cs="Times New Roman" w:eastAsia="Times New Roman" w:hAnsi="Times New Roman"/>
          <w:sz w:val="24"/>
          <w:szCs w:val="24"/>
          <w:rtl w:val="0"/>
        </w:rPr>
        <w:t xml:space="preserve">10.1371/journal.pone.0309908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Brumm, A. 2018. Lightning Teeth and Ponari Sweat: Folk Theories and Magical Uses of Prehistoric Stone Axes (and Adzes) in Island Southeast Asia and the Origin of Thunderstone Beliefs. </w:t>
      </w:r>
      <w:r w:rsidDel="00000000" w:rsidR="00000000" w:rsidRPr="00000000">
        <w:rPr>
          <w:rFonts w:ascii="Times New Roman" w:cs="Times New Roman" w:eastAsia="Times New Roman" w:hAnsi="Times New Roman"/>
          <w:i w:val="1"/>
          <w:iCs w:val="1"/>
          <w:sz w:val="24"/>
          <w:szCs w:val="24"/>
          <w:rtl w:val="0"/>
        </w:rPr>
        <w:t xml:space="preserve">Australian Archaeology</w:t>
      </w:r>
      <w:r w:rsidDel="00000000" w:rsidR="00000000" w:rsidRPr="00000000">
        <w:rPr>
          <w:rFonts w:ascii="Times New Roman" w:cs="Times New Roman" w:eastAsia="Times New Roman" w:hAnsi="Times New Roman"/>
          <w:sz w:val="24"/>
          <w:szCs w:val="24"/>
          <w:rtl w:val="0"/>
        </w:rPr>
        <w:t xml:space="preserve"> 84:37–55. DOI: </w:t>
      </w:r>
      <w:r w:rsidDel="00000000" w:rsidR="00000000" w:rsidRPr="00000000">
        <w:rPr>
          <w:rFonts w:ascii="Times New Roman" w:cs="Times New Roman" w:eastAsia="Times New Roman" w:hAnsi="Times New Roman"/>
          <w:sz w:val="24"/>
          <w:szCs w:val="24"/>
          <w:rtl w:val="0"/>
        </w:rPr>
        <w:t xml:space="preserve">10.1080/03122417.2018.1468059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Burbery, T. J. 2015. Fossil Folklore in the Liber Monstrorum, Beowulf, and Medieval Scholarship. </w:t>
      </w:r>
      <w:r w:rsidDel="00000000" w:rsidR="00000000" w:rsidRPr="00000000">
        <w:rPr>
          <w:rFonts w:ascii="Times New Roman" w:cs="Times New Roman" w:eastAsia="Times New Roman" w:hAnsi="Times New Roman"/>
          <w:i w:val="1"/>
          <w:iCs w:val="1"/>
          <w:sz w:val="24"/>
          <w:szCs w:val="24"/>
          <w:rtl w:val="0"/>
        </w:rPr>
        <w:t xml:space="preserve">Folklore</w:t>
      </w:r>
      <w:r w:rsidDel="00000000" w:rsidR="00000000" w:rsidRPr="00000000">
        <w:rPr>
          <w:rFonts w:ascii="Times New Roman" w:cs="Times New Roman" w:eastAsia="Times New Roman" w:hAnsi="Times New Roman"/>
          <w:sz w:val="24"/>
          <w:szCs w:val="24"/>
          <w:rtl w:val="0"/>
        </w:rPr>
        <w:t xml:space="preserve"> 126:317–335. DOI: </w:t>
      </w:r>
      <w:r w:rsidDel="00000000" w:rsidR="00000000" w:rsidRPr="00000000">
        <w:rPr>
          <w:rFonts w:ascii="Times New Roman" w:cs="Times New Roman" w:eastAsia="Times New Roman" w:hAnsi="Times New Roman"/>
          <w:sz w:val="24"/>
          <w:szCs w:val="24"/>
          <w:rtl w:val="0"/>
        </w:rPr>
        <w:t xml:space="preserve">10.1080/0015587X.2015.1082817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Burbery, T. J. 2021. </w:t>
      </w:r>
      <w:r w:rsidDel="00000000" w:rsidR="00000000" w:rsidRPr="00000000">
        <w:rPr>
          <w:rFonts w:ascii="Times New Roman" w:cs="Times New Roman" w:eastAsia="Times New Roman" w:hAnsi="Times New Roman"/>
          <w:i w:val="1"/>
          <w:iCs w:val="1"/>
          <w:sz w:val="24"/>
          <w:szCs w:val="24"/>
          <w:rtl w:val="0"/>
        </w:rPr>
        <w:t xml:space="preserve">Geomythology: How Common Stories Reflect Earth Events</w:t>
      </w:r>
      <w:r w:rsidDel="00000000" w:rsidR="00000000" w:rsidRPr="00000000">
        <w:rPr>
          <w:rFonts w:ascii="Times New Roman" w:cs="Times New Roman" w:eastAsia="Times New Roman" w:hAnsi="Times New Roman"/>
          <w:sz w:val="24"/>
          <w:szCs w:val="24"/>
          <w:rtl w:val="0"/>
        </w:rPr>
        <w:t xml:space="preserve">. Routledge, New York. DOI: </w:t>
      </w:r>
      <w:r w:rsidDel="00000000" w:rsidR="00000000" w:rsidRPr="00000000">
        <w:rPr>
          <w:rFonts w:ascii="Times New Roman" w:cs="Times New Roman" w:eastAsia="Times New Roman" w:hAnsi="Times New Roman"/>
          <w:sz w:val="24"/>
          <w:szCs w:val="24"/>
          <w:rtl w:val="0"/>
        </w:rPr>
        <w:t xml:space="preserve">10.4324/9781003149323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line="480" w:lineRule="auto"/>
        <w:ind w:left="720"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Carlotta, V., and M. Martelli. 2023. Metals as Living Bodies. Founts of Mercury, Amalgams, and Chrysocolla. </w:t>
      </w:r>
      <w:r w:rsidDel="00000000" w:rsidR="00000000" w:rsidRPr="00000000">
        <w:rPr>
          <w:rFonts w:ascii="Times New Roman" w:cs="Times New Roman" w:eastAsia="Times New Roman" w:hAnsi="Times New Roman"/>
          <w:i w:val="1"/>
          <w:iCs w:val="1"/>
          <w:sz w:val="24"/>
          <w:szCs w:val="24"/>
          <w:rtl w:val="0"/>
        </w:rPr>
        <w:t xml:space="preserve">Ambix</w:t>
      </w:r>
      <w:r w:rsidDel="00000000" w:rsidR="00000000" w:rsidRPr="00000000">
        <w:rPr>
          <w:rFonts w:ascii="Times New Roman" w:cs="Times New Roman" w:eastAsia="Times New Roman" w:hAnsi="Times New Roman"/>
          <w:sz w:val="24"/>
          <w:szCs w:val="24"/>
          <w:rtl w:val="0"/>
        </w:rPr>
        <w:t xml:space="preserve"> 70:7–30. DOI:</w:t>
      </w:r>
      <w:hyperlink r:id="rId6">
        <w:r w:rsidDel="00000000" w:rsidR="00000000" w:rsidRPr="00000000">
          <w:rPr>
            <w:rFonts w:ascii="Times New Roman" w:cs="Times New Roman" w:eastAsia="Times New Roman" w:hAnsi="Times New Roman"/>
            <w:color w:val="1155cc"/>
            <w:sz w:val="24"/>
            <w:szCs w:val="24"/>
            <w:u w:val="single"/>
            <w:rtl w:val="0"/>
          </w:rPr>
          <w:t xml:space="preserve">10.1080/00026980.2023.2173833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8">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J. J. 2015. </w:t>
      </w:r>
      <w:r w:rsidDel="00000000" w:rsidR="00000000" w:rsidRPr="00000000">
        <w:rPr>
          <w:rFonts w:ascii="Times New Roman" w:cs="Times New Roman" w:eastAsia="Times New Roman" w:hAnsi="Times New Roman"/>
          <w:i w:val="1"/>
          <w:iCs w:val="1"/>
          <w:sz w:val="24"/>
          <w:szCs w:val="24"/>
          <w:rtl w:val="0"/>
        </w:rPr>
        <w:t xml:space="preserve">Stone: An Ecology of the Inhuman</w:t>
      </w:r>
      <w:r w:rsidDel="00000000" w:rsidR="00000000" w:rsidRPr="00000000">
        <w:rPr>
          <w:rFonts w:ascii="Times New Roman" w:cs="Times New Roman" w:eastAsia="Times New Roman" w:hAnsi="Times New Roman"/>
          <w:sz w:val="24"/>
          <w:szCs w:val="24"/>
          <w:rtl w:val="0"/>
        </w:rPr>
        <w:t xml:space="preserve">. University of Minnesota Press, Minneapolis, MN.</w:t>
      </w:r>
    </w:p>
    <w:p w:rsidR="00000000" w:rsidDel="00000000" w:rsidP="00000000" w:rsidRDefault="00000000" w:rsidRPr="00000000" w14:paraId="00000049">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Duffin, C. J. 2013. Chelidonius: The Swallow Stone. </w:t>
      </w:r>
      <w:r w:rsidDel="00000000" w:rsidR="00000000" w:rsidRPr="00000000">
        <w:rPr>
          <w:rFonts w:ascii="Times New Roman" w:cs="Times New Roman" w:eastAsia="Times New Roman" w:hAnsi="Times New Roman"/>
          <w:i w:val="1"/>
          <w:iCs w:val="1"/>
          <w:sz w:val="24"/>
          <w:szCs w:val="24"/>
          <w:rtl w:val="0"/>
        </w:rPr>
        <w:t xml:space="preserve">Folklore</w:t>
      </w:r>
      <w:r w:rsidDel="00000000" w:rsidR="00000000" w:rsidRPr="00000000">
        <w:rPr>
          <w:rFonts w:ascii="Times New Roman" w:cs="Times New Roman" w:eastAsia="Times New Roman" w:hAnsi="Times New Roman"/>
          <w:sz w:val="24"/>
          <w:szCs w:val="24"/>
          <w:rtl w:val="0"/>
        </w:rPr>
        <w:t xml:space="preserve"> 124:81–103.</w:t>
      </w:r>
    </w:p>
    <w:p w:rsidR="00000000" w:rsidDel="00000000" w:rsidP="00000000" w:rsidRDefault="00000000" w:rsidRPr="00000000" w14:paraId="0000004A">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Ellen, Roy. 2016. Tools, agency and the category of ‘living things’. </w:t>
      </w:r>
      <w:r w:rsidDel="00000000" w:rsidR="00000000" w:rsidRPr="00000000">
        <w:rPr>
          <w:rFonts w:ascii="Times New Roman" w:cs="Times New Roman" w:eastAsia="Times New Roman" w:hAnsi="Times New Roman"/>
          <w:i w:val="1"/>
          <w:iCs w:val="1"/>
          <w:sz w:val="24"/>
          <w:szCs w:val="24"/>
          <w:rtl w:val="0"/>
        </w:rPr>
        <w:t xml:space="preserve">Les actes de colloques du musée du quai Branly Jacques Chirac</w:t>
      </w:r>
      <w:r w:rsidDel="00000000" w:rsidR="00000000" w:rsidRPr="00000000">
        <w:rPr>
          <w:rFonts w:ascii="Times New Roman" w:cs="Times New Roman" w:eastAsia="Times New Roman" w:hAnsi="Times New Roman"/>
          <w:sz w:val="24"/>
          <w:szCs w:val="24"/>
          <w:rtl w:val="0"/>
        </w:rPr>
        <w:t xml:space="preserve"> 6. DOI: 10.4000/actesbranly.655</w:t>
      </w:r>
    </w:p>
    <w:p w:rsidR="00000000" w:rsidDel="00000000" w:rsidP="00000000" w:rsidRDefault="00000000" w:rsidRPr="00000000" w14:paraId="0000004B">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J., and M. S. Serjeantson. 1960. </w:t>
      </w:r>
      <w:r w:rsidDel="00000000" w:rsidR="00000000" w:rsidRPr="00000000">
        <w:rPr>
          <w:rFonts w:ascii="Times New Roman" w:cs="Times New Roman" w:eastAsia="Times New Roman" w:hAnsi="Times New Roman"/>
          <w:i w:val="1"/>
          <w:iCs w:val="1"/>
          <w:sz w:val="24"/>
          <w:szCs w:val="24"/>
          <w:rtl w:val="0"/>
        </w:rPr>
        <w:t xml:space="preserve">English Mediaeval Lapidaries</w:t>
      </w:r>
      <w:r w:rsidDel="00000000" w:rsidR="00000000" w:rsidRPr="00000000">
        <w:rPr>
          <w:rFonts w:ascii="Times New Roman" w:cs="Times New Roman" w:eastAsia="Times New Roman" w:hAnsi="Times New Roman"/>
          <w:sz w:val="24"/>
          <w:szCs w:val="24"/>
          <w:rtl w:val="0"/>
        </w:rPr>
        <w:t xml:space="preserve">. Oxford University Press. London, UK.</w:t>
      </w:r>
    </w:p>
    <w:p w:rsidR="00000000" w:rsidDel="00000000" w:rsidP="00000000" w:rsidRDefault="00000000" w:rsidRPr="00000000" w14:paraId="0000004C">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Fernández-Fernández, A., P. Valle-Abad, A. A. Rodríguez -Nóvoa, M. García-Ávila, S. Romero, and J. C. Gutiérrez-Marco. 2025. Significance of Fossils in Roman Times: The First Trilobite Find in an Early Empire Context. </w:t>
      </w:r>
      <w:r w:rsidDel="00000000" w:rsidR="00000000" w:rsidRPr="00000000">
        <w:rPr>
          <w:rFonts w:ascii="Times New Roman" w:cs="Times New Roman" w:eastAsia="Times New Roman" w:hAnsi="Times New Roman"/>
          <w:i w:val="1"/>
          <w:iCs w:val="1"/>
          <w:sz w:val="24"/>
          <w:szCs w:val="24"/>
          <w:rtl w:val="0"/>
        </w:rPr>
        <w:t xml:space="preserve">Archaeological and Anthropological Sciences</w:t>
      </w:r>
      <w:r w:rsidDel="00000000" w:rsidR="00000000" w:rsidRPr="00000000">
        <w:rPr>
          <w:rFonts w:ascii="Times New Roman" w:cs="Times New Roman" w:eastAsia="Times New Roman" w:hAnsi="Times New Roman"/>
          <w:sz w:val="24"/>
          <w:szCs w:val="24"/>
          <w:rtl w:val="0"/>
        </w:rPr>
        <w:t xml:space="preserve"> 17:166. DOI: </w:t>
      </w:r>
      <w:r w:rsidDel="00000000" w:rsidR="00000000" w:rsidRPr="00000000">
        <w:rPr>
          <w:rFonts w:ascii="Times New Roman" w:cs="Times New Roman" w:eastAsia="Times New Roman" w:hAnsi="Times New Roman"/>
          <w:sz w:val="24"/>
          <w:szCs w:val="24"/>
          <w:rtl w:val="0"/>
        </w:rPr>
        <w:t xml:space="preserve">10.1007/s12520-025-02266-8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line="480" w:lineRule="auto"/>
        <w:ind w:left="720"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Gutiérrez-Marco, J. C., and D. C. García-Bellido. 2018. The International Fossil Trade from the Paleozoic of the Anti-Atlas, Morocco. </w:t>
      </w:r>
      <w:r w:rsidDel="00000000" w:rsidR="00000000" w:rsidRPr="00000000">
        <w:rPr>
          <w:rFonts w:ascii="Times New Roman" w:cs="Times New Roman" w:eastAsia="Times New Roman" w:hAnsi="Times New Roman"/>
          <w:i w:val="1"/>
          <w:iCs w:val="1"/>
          <w:sz w:val="24"/>
          <w:szCs w:val="24"/>
          <w:rtl w:val="0"/>
        </w:rPr>
        <w:t xml:space="preserve">Geological Society, London, Special Publications</w:t>
      </w:r>
      <w:r w:rsidDel="00000000" w:rsidR="00000000" w:rsidRPr="00000000">
        <w:rPr>
          <w:rFonts w:ascii="Times New Roman" w:cs="Times New Roman" w:eastAsia="Times New Roman" w:hAnsi="Times New Roman"/>
          <w:sz w:val="24"/>
          <w:szCs w:val="24"/>
          <w:rtl w:val="0"/>
        </w:rPr>
        <w:t xml:space="preserve"> 485:69–96. DOI:10.1144/sp485.1.</w:t>
      </w:r>
    </w:p>
    <w:p w:rsidR="00000000" w:rsidDel="00000000" w:rsidP="00000000" w:rsidRDefault="00000000" w:rsidRPr="00000000" w14:paraId="0000004E">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Hallowell, A. I. 1960. Ojibwa Ontology, Behavior, and World View. In </w:t>
      </w:r>
      <w:r w:rsidDel="00000000" w:rsidR="00000000" w:rsidRPr="00000000">
        <w:rPr>
          <w:rFonts w:ascii="Times New Roman" w:cs="Times New Roman" w:eastAsia="Times New Roman" w:hAnsi="Times New Roman"/>
          <w:i w:val="1"/>
          <w:iCs w:val="1"/>
          <w:sz w:val="24"/>
          <w:szCs w:val="24"/>
          <w:rtl w:val="0"/>
        </w:rPr>
        <w:t xml:space="preserve">Culture In History: Essays In Honor Of Paul Radin</w:t>
      </w:r>
      <w:r w:rsidDel="00000000" w:rsidR="00000000" w:rsidRPr="00000000">
        <w:rPr>
          <w:rFonts w:ascii="Times New Roman" w:cs="Times New Roman" w:eastAsia="Times New Roman" w:hAnsi="Times New Roman"/>
          <w:sz w:val="24"/>
          <w:szCs w:val="24"/>
          <w:rtl w:val="0"/>
        </w:rPr>
        <w:t xml:space="preserve">, edited by S. Diamond, pp. 19-52. Columbia University Press, NY. </w:t>
      </w:r>
    </w:p>
    <w:p w:rsidR="00000000" w:rsidDel="00000000" w:rsidP="00000000" w:rsidRDefault="00000000" w:rsidRPr="00000000" w14:paraId="0000004F">
      <w:pPr>
        <w:spacing w:line="480" w:lineRule="auto"/>
        <w:ind w:left="720"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J. M. 2016. ‘Ancient Episteme’ and the Nature of Fossils: A Correction of a Modern Scholarly Error. </w:t>
      </w:r>
      <w:r w:rsidDel="00000000" w:rsidR="00000000" w:rsidRPr="00000000">
        <w:rPr>
          <w:rFonts w:ascii="Times New Roman" w:cs="Times New Roman" w:eastAsia="Times New Roman" w:hAnsi="Times New Roman"/>
          <w:i w:val="1"/>
          <w:iCs w:val="1"/>
          <w:sz w:val="24"/>
          <w:szCs w:val="24"/>
          <w:rtl w:val="0"/>
        </w:rPr>
        <w:t xml:space="preserve">History and Philosophy of the Life Sciences</w:t>
      </w:r>
      <w:r w:rsidDel="00000000" w:rsidR="00000000" w:rsidRPr="00000000">
        <w:rPr>
          <w:rFonts w:ascii="Times New Roman" w:cs="Times New Roman" w:eastAsia="Times New Roman" w:hAnsi="Times New Roman"/>
          <w:sz w:val="24"/>
          <w:szCs w:val="24"/>
          <w:rtl w:val="0"/>
        </w:rPr>
        <w:t xml:space="preserve"> 38:90–116. DOI:10.1007/s40656-015-0094-6.</w:t>
      </w:r>
    </w:p>
    <w:p w:rsidR="00000000" w:rsidDel="00000000" w:rsidP="00000000" w:rsidRDefault="00000000" w:rsidRPr="00000000" w14:paraId="00000050">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Loeuff, J., C. Laojumpon, S. Suteethorn, &amp; V. Suteethorn 2012. Magic fossils. On the use of Triassic corpolites as talismans and medicine in South East Asia. Paper Presented at the 10th Annual meeting of the European Association of Vertebrate Palaeontologists. Teruel, Spain. Available at: https://eavp.org/past-meetings</w:t>
      </w:r>
    </w:p>
    <w:p w:rsidR="00000000" w:rsidDel="00000000" w:rsidP="00000000" w:rsidRDefault="00000000" w:rsidRPr="00000000" w14:paraId="00000051">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Medin, D. L., and M. Bang. 2014. </w:t>
      </w:r>
      <w:r w:rsidDel="00000000" w:rsidR="00000000" w:rsidRPr="00000000">
        <w:rPr>
          <w:rFonts w:ascii="Times New Roman" w:cs="Times New Roman" w:eastAsia="Times New Roman" w:hAnsi="Times New Roman"/>
          <w:i w:val="1"/>
          <w:iCs w:val="1"/>
          <w:sz w:val="24"/>
          <w:szCs w:val="24"/>
          <w:rtl w:val="0"/>
        </w:rPr>
        <w:t xml:space="preserve">Who's Asking? Native Science, Western Science, and Science Education</w:t>
      </w:r>
      <w:r w:rsidDel="00000000" w:rsidR="00000000" w:rsidRPr="00000000">
        <w:rPr>
          <w:rFonts w:ascii="Times New Roman" w:cs="Times New Roman" w:eastAsia="Times New Roman" w:hAnsi="Times New Roman"/>
          <w:sz w:val="24"/>
          <w:szCs w:val="24"/>
          <w:rtl w:val="0"/>
        </w:rPr>
        <w:t xml:space="preserve">. MIT Press, Cambridge, Massachusetts. </w:t>
      </w:r>
    </w:p>
    <w:p w:rsidR="00000000" w:rsidDel="00000000" w:rsidP="00000000" w:rsidRDefault="00000000" w:rsidRPr="00000000" w14:paraId="00000052">
      <w:pPr>
        <w:spacing w:line="480" w:lineRule="auto"/>
        <w:ind w:left="720"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Moseley, W. G. 2001. Political Ecology and the Rural Southern Vote: A Note on the 2000 Presidential Election. </w:t>
      </w:r>
      <w:r w:rsidDel="00000000" w:rsidR="00000000" w:rsidRPr="00000000">
        <w:rPr>
          <w:rFonts w:ascii="Times New Roman" w:cs="Times New Roman" w:eastAsia="Times New Roman" w:hAnsi="Times New Roman"/>
          <w:i w:val="1"/>
          <w:iCs w:val="1"/>
          <w:sz w:val="24"/>
          <w:szCs w:val="24"/>
          <w:rtl w:val="0"/>
        </w:rPr>
        <w:t xml:space="preserve">Southeastern Geographer</w:t>
      </w:r>
      <w:r w:rsidDel="00000000" w:rsidR="00000000" w:rsidRPr="00000000">
        <w:rPr>
          <w:rFonts w:ascii="Times New Roman" w:cs="Times New Roman" w:eastAsia="Times New Roman" w:hAnsi="Times New Roman"/>
          <w:sz w:val="24"/>
          <w:szCs w:val="24"/>
          <w:rtl w:val="0"/>
        </w:rPr>
        <w:t xml:space="preserve"> 41:289–295. DOI:10.1353/sgo.2001.0017.</w:t>
      </w:r>
    </w:p>
    <w:p w:rsidR="00000000" w:rsidDel="00000000" w:rsidP="00000000" w:rsidRDefault="00000000" w:rsidRPr="00000000" w14:paraId="00000053">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Moura, G. J. B., and U. P. Albuquerque. 2012. The First Report on the Medicinal Use of Fossils in Latin America. </w:t>
      </w:r>
      <w:r w:rsidDel="00000000" w:rsidR="00000000" w:rsidRPr="00000000">
        <w:rPr>
          <w:rFonts w:ascii="Times New Roman" w:cs="Times New Roman" w:eastAsia="Times New Roman" w:hAnsi="Times New Roman"/>
          <w:i w:val="1"/>
          <w:iCs w:val="1"/>
          <w:sz w:val="24"/>
          <w:szCs w:val="24"/>
          <w:rtl w:val="0"/>
        </w:rPr>
        <w:t xml:space="preserve">Evidence-Based Complementary and Alternative Medicine</w:t>
      </w:r>
      <w:r w:rsidDel="00000000" w:rsidR="00000000" w:rsidRPr="00000000">
        <w:rPr>
          <w:rFonts w:ascii="Times New Roman" w:cs="Times New Roman" w:eastAsia="Times New Roman" w:hAnsi="Times New Roman"/>
          <w:sz w:val="24"/>
          <w:szCs w:val="24"/>
          <w:rtl w:val="0"/>
        </w:rPr>
        <w:t xml:space="preserve"> 2012:691717. DOI: </w:t>
      </w:r>
      <w:r w:rsidDel="00000000" w:rsidR="00000000" w:rsidRPr="00000000">
        <w:rPr>
          <w:rFonts w:ascii="Times New Roman" w:cs="Times New Roman" w:eastAsia="Times New Roman" w:hAnsi="Times New Roman"/>
          <w:sz w:val="24"/>
          <w:szCs w:val="24"/>
          <w:rtl w:val="0"/>
        </w:rPr>
        <w:t xml:space="preserve">10.1155/2012/691717</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 C. M. 1968. Ammonites: Ammon’s Horns into Cephalopods. </w:t>
      </w:r>
      <w:r w:rsidDel="00000000" w:rsidR="00000000" w:rsidRPr="00000000">
        <w:rPr>
          <w:rFonts w:ascii="Times New Roman" w:cs="Times New Roman" w:eastAsia="Times New Roman" w:hAnsi="Times New Roman"/>
          <w:i w:val="1"/>
          <w:iCs w:val="1"/>
          <w:sz w:val="24"/>
          <w:szCs w:val="24"/>
          <w:rtl w:val="0"/>
        </w:rPr>
        <w:t xml:space="preserve">Journal of the Society for the Bibliography of Natural History</w:t>
      </w:r>
      <w:r w:rsidDel="00000000" w:rsidR="00000000" w:rsidRPr="00000000">
        <w:rPr>
          <w:rFonts w:ascii="Times New Roman" w:cs="Times New Roman" w:eastAsia="Times New Roman" w:hAnsi="Times New Roman"/>
          <w:sz w:val="24"/>
          <w:szCs w:val="24"/>
          <w:rtl w:val="0"/>
        </w:rPr>
        <w:t xml:space="preserve"> 5:1–18. DOI: </w:t>
      </w:r>
      <w:r w:rsidDel="00000000" w:rsidR="00000000" w:rsidRPr="00000000">
        <w:rPr>
          <w:rFonts w:ascii="Times New Roman" w:cs="Times New Roman" w:eastAsia="Times New Roman" w:hAnsi="Times New Roman"/>
          <w:sz w:val="24"/>
          <w:szCs w:val="24"/>
          <w:rtl w:val="0"/>
        </w:rPr>
        <w:t xml:space="preserve">10.3366/jsbnh.1968.5.1.1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Pierotti, Raymond. 2015. Indigenous Concepts of ‘Living Systems’: Aristotelian ‘Soul’ Meets Constructal Theory. </w:t>
      </w:r>
      <w:r w:rsidDel="00000000" w:rsidR="00000000" w:rsidRPr="00000000">
        <w:rPr>
          <w:rFonts w:ascii="Times New Roman" w:cs="Times New Roman" w:eastAsia="Times New Roman" w:hAnsi="Times New Roman"/>
          <w:i w:val="1"/>
          <w:iCs w:val="1"/>
          <w:sz w:val="24"/>
          <w:szCs w:val="24"/>
          <w:rtl w:val="0"/>
        </w:rPr>
        <w:t xml:space="preserve">Ethnobiology Letters</w:t>
      </w:r>
      <w:r w:rsidDel="00000000" w:rsidR="00000000" w:rsidRPr="00000000">
        <w:rPr>
          <w:rFonts w:ascii="Times New Roman" w:cs="Times New Roman" w:eastAsia="Times New Roman" w:hAnsi="Times New Roman"/>
          <w:sz w:val="24"/>
          <w:szCs w:val="24"/>
          <w:rtl w:val="0"/>
        </w:rPr>
        <w:t xml:space="preserve"> 6(1):80–88. DOI: 10.14237/ebl.6.1.2015.420</w:t>
      </w:r>
    </w:p>
    <w:p w:rsidR="00000000" w:rsidDel="00000000" w:rsidP="00000000" w:rsidRDefault="00000000" w:rsidRPr="00000000" w14:paraId="00000056">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Podgorny, Irina. 2017. The name is the message: eagle-stones and materia medica in South America. In </w:t>
      </w:r>
      <w:r w:rsidDel="00000000" w:rsidR="00000000" w:rsidRPr="00000000">
        <w:rPr>
          <w:rFonts w:ascii="Times New Roman" w:cs="Times New Roman" w:eastAsia="Times New Roman" w:hAnsi="Times New Roman"/>
          <w:i w:val="1"/>
          <w:iCs w:val="1"/>
          <w:sz w:val="24"/>
          <w:szCs w:val="24"/>
          <w:rtl w:val="0"/>
        </w:rPr>
        <w:t xml:space="preserve">Geology and Medicine: Historical Connections</w:t>
      </w:r>
      <w:r w:rsidDel="00000000" w:rsidR="00000000" w:rsidRPr="00000000">
        <w:rPr>
          <w:rFonts w:ascii="Times New Roman" w:cs="Times New Roman" w:eastAsia="Times New Roman" w:hAnsi="Times New Roman"/>
          <w:sz w:val="24"/>
          <w:szCs w:val="24"/>
          <w:rtl w:val="0"/>
        </w:rPr>
        <w:t xml:space="preserve">, edited by C. J. Duffin, C. Gardner-Thorpe, and R. T. J. Moody. The Geological Society of London, London, UK. DOI: 10.1144/SP452</w:t>
      </w:r>
    </w:p>
    <w:p w:rsidR="00000000" w:rsidDel="00000000" w:rsidP="00000000" w:rsidRDefault="00000000" w:rsidRPr="00000000" w14:paraId="00000057">
      <w:pPr>
        <w:spacing w:line="480" w:lineRule="auto"/>
        <w:ind w:left="720"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 D. B., &amp; L. Stoneman. 2019. On the Origin of the Dragon: Evolving a Transdisciplinary Research Pedagogy. In </w:t>
      </w:r>
      <w:r w:rsidDel="00000000" w:rsidR="00000000" w:rsidRPr="00000000">
        <w:rPr>
          <w:rFonts w:ascii="Times New Roman" w:cs="Times New Roman" w:eastAsia="Times New Roman" w:hAnsi="Times New Roman"/>
          <w:i w:val="1"/>
          <w:iCs w:val="1"/>
          <w:sz w:val="24"/>
          <w:szCs w:val="24"/>
          <w:rtl w:val="0"/>
        </w:rPr>
        <w:t xml:space="preserve">Animals in Environmental Education: Interdisciplinary Approaches to Curriculum and Pedagogy</w:t>
      </w:r>
      <w:r w:rsidDel="00000000" w:rsidR="00000000" w:rsidRPr="00000000">
        <w:rPr>
          <w:rFonts w:ascii="Times New Roman" w:cs="Times New Roman" w:eastAsia="Times New Roman" w:hAnsi="Times New Roman"/>
          <w:sz w:val="24"/>
          <w:szCs w:val="24"/>
          <w:rtl w:val="0"/>
        </w:rPr>
        <w:t xml:space="preserve">, edited by T. Lloro-Bidart and V. S. Banschbach. Springer International Publishing. DOI: 10.1007/978-3-319-98479-7_9</w:t>
      </w:r>
    </w:p>
    <w:p w:rsidR="00000000" w:rsidDel="00000000" w:rsidP="00000000" w:rsidRDefault="00000000" w:rsidRPr="00000000" w14:paraId="00000058">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Romano, M. 2024. Fossils as a Source of Myths, Legends and Folklore. </w:t>
      </w:r>
      <w:r w:rsidDel="00000000" w:rsidR="00000000" w:rsidRPr="00000000">
        <w:rPr>
          <w:rFonts w:ascii="Times New Roman" w:cs="Times New Roman" w:eastAsia="Times New Roman" w:hAnsi="Times New Roman"/>
          <w:i w:val="1"/>
          <w:iCs w:val="1"/>
          <w:sz w:val="24"/>
          <w:szCs w:val="24"/>
          <w:rtl w:val="0"/>
        </w:rPr>
        <w:t xml:space="preserve">Rendiconti Online della Società Geologica Italiana</w:t>
      </w:r>
      <w:r w:rsidDel="00000000" w:rsidR="00000000" w:rsidRPr="00000000">
        <w:rPr>
          <w:rFonts w:ascii="Times New Roman" w:cs="Times New Roman" w:eastAsia="Times New Roman" w:hAnsi="Times New Roman"/>
          <w:sz w:val="24"/>
          <w:szCs w:val="24"/>
          <w:rtl w:val="0"/>
        </w:rPr>
        <w:t xml:space="preserve"> 62:1–15. DOI: </w:t>
      </w:r>
      <w:r w:rsidDel="00000000" w:rsidR="00000000" w:rsidRPr="00000000">
        <w:rPr>
          <w:rFonts w:ascii="Times New Roman" w:cs="Times New Roman" w:eastAsia="Times New Roman" w:hAnsi="Times New Roman"/>
          <w:sz w:val="24"/>
          <w:szCs w:val="24"/>
          <w:rtl w:val="0"/>
        </w:rPr>
        <w:t xml:space="preserve">10.3301/ROL.2024.11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Sieferle, R. P. 2001. </w:t>
      </w:r>
      <w:r w:rsidDel="00000000" w:rsidR="00000000" w:rsidRPr="00000000">
        <w:rPr>
          <w:rFonts w:ascii="Times New Roman" w:cs="Times New Roman" w:eastAsia="Times New Roman" w:hAnsi="Times New Roman"/>
          <w:i w:val="1"/>
          <w:iCs w:val="1"/>
          <w:sz w:val="24"/>
          <w:szCs w:val="24"/>
          <w:rtl w:val="0"/>
        </w:rPr>
        <w:t xml:space="preserve">The Subterranean Forest: Energy Systems and the Industrial Revolution</w:t>
      </w:r>
      <w:r w:rsidDel="00000000" w:rsidR="00000000" w:rsidRPr="00000000">
        <w:rPr>
          <w:rFonts w:ascii="Times New Roman" w:cs="Times New Roman" w:eastAsia="Times New Roman" w:hAnsi="Times New Roman"/>
          <w:sz w:val="24"/>
          <w:szCs w:val="24"/>
          <w:rtl w:val="0"/>
        </w:rPr>
        <w:t xml:space="preserve">. The White Horse Press, Cambridge.</w:t>
      </w:r>
    </w:p>
    <w:p w:rsidR="00000000" w:rsidDel="00000000" w:rsidP="00000000" w:rsidRDefault="00000000" w:rsidRPr="00000000" w14:paraId="0000005A">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Skeat, W. W. 1912. “Snakestones” and Stone Thunderbolts as Subjects for Systematic Investigation. </w:t>
      </w:r>
      <w:r w:rsidDel="00000000" w:rsidR="00000000" w:rsidRPr="00000000">
        <w:rPr>
          <w:rFonts w:ascii="Times New Roman" w:cs="Times New Roman" w:eastAsia="Times New Roman" w:hAnsi="Times New Roman"/>
          <w:i w:val="1"/>
          <w:iCs w:val="1"/>
          <w:sz w:val="24"/>
          <w:szCs w:val="24"/>
          <w:rtl w:val="0"/>
        </w:rPr>
        <w:t xml:space="preserve">Folklore</w:t>
      </w:r>
      <w:r w:rsidDel="00000000" w:rsidR="00000000" w:rsidRPr="00000000">
        <w:rPr>
          <w:rFonts w:ascii="Times New Roman" w:cs="Times New Roman" w:eastAsia="Times New Roman" w:hAnsi="Times New Roman"/>
          <w:sz w:val="24"/>
          <w:szCs w:val="24"/>
          <w:rtl w:val="0"/>
        </w:rPr>
        <w:t xml:space="preserve"> 23:45–80. DOI: </w:t>
      </w:r>
      <w:r w:rsidDel="00000000" w:rsidR="00000000" w:rsidRPr="00000000">
        <w:rPr>
          <w:rFonts w:ascii="Times New Roman" w:cs="Times New Roman" w:eastAsia="Times New Roman" w:hAnsi="Times New Roman"/>
          <w:sz w:val="24"/>
          <w:szCs w:val="24"/>
          <w:rtl w:val="0"/>
        </w:rPr>
        <w:t xml:space="preserve">10.1080/0015587X.1912.9719509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Vitaliano, D. B. 1968. Geomythology: The Impact of Geologic Events on History and Legend with Special Reference to Atlantis. </w:t>
      </w:r>
      <w:r w:rsidDel="00000000" w:rsidR="00000000" w:rsidRPr="00000000">
        <w:rPr>
          <w:rFonts w:ascii="Times New Roman" w:cs="Times New Roman" w:eastAsia="Times New Roman" w:hAnsi="Times New Roman"/>
          <w:i w:val="1"/>
          <w:iCs w:val="1"/>
          <w:sz w:val="24"/>
          <w:szCs w:val="24"/>
          <w:rtl w:val="0"/>
        </w:rPr>
        <w:t xml:space="preserve">Journal of the Folklore Institute</w:t>
      </w:r>
      <w:r w:rsidDel="00000000" w:rsidR="00000000" w:rsidRPr="00000000">
        <w:rPr>
          <w:rFonts w:ascii="Times New Roman" w:cs="Times New Roman" w:eastAsia="Times New Roman" w:hAnsi="Times New Roman"/>
          <w:sz w:val="24"/>
          <w:szCs w:val="24"/>
          <w:rtl w:val="0"/>
        </w:rPr>
        <w:t xml:space="preserve"> 5:5. DOI: </w:t>
      </w:r>
      <w:r w:rsidDel="00000000" w:rsidR="00000000" w:rsidRPr="00000000">
        <w:rPr>
          <w:rFonts w:ascii="Times New Roman" w:cs="Times New Roman" w:eastAsia="Times New Roman" w:hAnsi="Times New Roman"/>
          <w:sz w:val="24"/>
          <w:szCs w:val="24"/>
          <w:rtl w:val="0"/>
        </w:rPr>
        <w:t xml:space="preserve">10.2307/3813842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line="480" w:lineRule="auto"/>
        <w:ind w:left="720" w:righ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Witton, M. P., and R. A. Hing. 2024. Did the Horned Dinosaur Protoceratops Inspire the Griffin? </w:t>
      </w:r>
      <w:r w:rsidDel="00000000" w:rsidR="00000000" w:rsidRPr="00000000">
        <w:rPr>
          <w:rFonts w:ascii="Times New Roman" w:cs="Times New Roman" w:eastAsia="Times New Roman" w:hAnsi="Times New Roman"/>
          <w:i w:val="1"/>
          <w:iCs w:val="1"/>
          <w:sz w:val="24"/>
          <w:szCs w:val="24"/>
          <w:rtl w:val="0"/>
        </w:rPr>
        <w:t xml:space="preserve">Interdisciplinary Science Reviews</w:t>
      </w:r>
      <w:r w:rsidDel="00000000" w:rsidR="00000000" w:rsidRPr="00000000">
        <w:rPr>
          <w:rFonts w:ascii="Times New Roman" w:cs="Times New Roman" w:eastAsia="Times New Roman" w:hAnsi="Times New Roman"/>
          <w:sz w:val="24"/>
          <w:szCs w:val="24"/>
          <w:rtl w:val="0"/>
        </w:rPr>
        <w:t xml:space="preserve">. DOI: </w:t>
      </w:r>
      <w:r w:rsidDel="00000000" w:rsidR="00000000" w:rsidRPr="00000000">
        <w:rPr>
          <w:rFonts w:ascii="Times New Roman" w:cs="Times New Roman" w:eastAsia="Times New Roman" w:hAnsi="Times New Roman"/>
          <w:sz w:val="24"/>
          <w:szCs w:val="24"/>
          <w:rtl w:val="0"/>
        </w:rPr>
        <w:t xml:space="preserve">10.1177/03080188241255543</w:t>
      </w:r>
      <w:r w:rsidDel="00000000" w:rsidR="00000000" w:rsidRPr="00000000">
        <w:rPr>
          <w:rFonts w:ascii="Times New Roman" w:cs="Times New Roman" w:eastAsia="Times New Roman" w:hAnsi="Times New Roman"/>
          <w:sz w:val="24"/>
          <w:szCs w:val="24"/>
          <w:rtl w:val="0"/>
        </w:rPr>
        <w:t xml:space="preserve">.</w:t>
      </w:r>
    </w:p>
    <w:sectPr>
      <w:headerReference r:id="rId7" w:type="default"/>
      <w:footerReference r:id="rId8" w:type="default"/>
      <w:pgSz w:h="15840" w:w="12240" w:orient="portrait"/>
      <w:pgMar w:bottom="1440" w:top="1440" w:left="1440"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80/00026980.2023.2173833"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